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7E2F89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BB2342">
        <w:rPr>
          <w:bCs/>
          <w:noProof w:val="0"/>
          <w:sz w:val="24"/>
          <w:szCs w:val="24"/>
        </w:rPr>
        <w:t>07274</w:t>
      </w:r>
    </w:p>
    <w:p w14:paraId="11776FA6" w14:textId="6271673F"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w:t>
      </w:r>
      <w:r w:rsidR="00BB2342" w:rsidRPr="00BB2342">
        <w:rPr>
          <w:rFonts w:eastAsia="SimSun"/>
          <w:bCs/>
          <w:sz w:val="24"/>
          <w:szCs w:val="24"/>
          <w:vertAlign w:val="superscript"/>
          <w:lang w:eastAsia="zh-CN"/>
        </w:rPr>
        <w:t>th</w:t>
      </w:r>
      <w:r w:rsidR="00BB2342">
        <w:rPr>
          <w:rFonts w:eastAsia="SimSun"/>
          <w:bCs/>
          <w:sz w:val="24"/>
          <w:szCs w:val="24"/>
          <w:lang w:eastAsia="zh-CN"/>
        </w:rPr>
        <w:t xml:space="preserve"> </w:t>
      </w:r>
      <w:r w:rsidRPr="00094568">
        <w:rPr>
          <w:rFonts w:eastAsia="SimSun"/>
          <w:bCs/>
          <w:sz w:val="24"/>
          <w:szCs w:val="24"/>
          <w:lang w:eastAsia="zh-CN"/>
        </w:rPr>
        <w:t xml:space="preserve"> – 17</w:t>
      </w:r>
      <w:r w:rsidR="00BB2342" w:rsidRPr="00BB2342">
        <w:rPr>
          <w:rFonts w:eastAsia="SimSun"/>
          <w:bCs/>
          <w:sz w:val="24"/>
          <w:szCs w:val="24"/>
          <w:vertAlign w:val="superscript"/>
          <w:lang w:eastAsia="zh-CN"/>
        </w:rPr>
        <w:t>th</w:t>
      </w:r>
      <w:r w:rsidR="00BB2342">
        <w:rPr>
          <w:rFonts w:eastAsia="SimSun"/>
          <w:bCs/>
          <w:sz w:val="24"/>
          <w:szCs w:val="24"/>
          <w:lang w:eastAsia="zh-CN"/>
        </w:rPr>
        <w:t xml:space="preserve"> of</w:t>
      </w:r>
      <w:r w:rsidRPr="00094568">
        <w:rPr>
          <w:rFonts w:eastAsia="SimSun"/>
          <w:bCs/>
          <w:sz w:val="24"/>
          <w:szCs w:val="24"/>
          <w:lang w:eastAsia="zh-CN"/>
        </w:rPr>
        <w:t xml:space="preserve"> May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BC8E4F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7114">
        <w:rPr>
          <w:rFonts w:cs="Arial"/>
          <w:b/>
          <w:bCs/>
          <w:sz w:val="24"/>
          <w:lang w:eastAsia="ja-JP"/>
        </w:rPr>
        <w:t>12.3.3.1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E3455B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564E">
        <w:rPr>
          <w:rFonts w:ascii="Arial" w:hAnsi="Arial" w:cs="Arial"/>
          <w:b/>
          <w:bCs/>
          <w:sz w:val="24"/>
        </w:rPr>
        <w:t xml:space="preserve">Conditional Handover in </w:t>
      </w:r>
      <w:r w:rsidR="00FF4B72">
        <w:rPr>
          <w:rFonts w:ascii="Arial" w:hAnsi="Arial" w:cs="Arial"/>
          <w:b/>
          <w:bCs/>
          <w:sz w:val="24"/>
        </w:rPr>
        <w:t>E-UTRAN</w:t>
      </w:r>
      <w:r w:rsidR="009D564E">
        <w:rPr>
          <w:rFonts w:ascii="Arial" w:hAnsi="Arial" w:cs="Arial"/>
          <w:b/>
          <w:bCs/>
          <w:sz w:val="24"/>
        </w:rPr>
        <w:t xml:space="preserve"> – </w:t>
      </w:r>
      <w:r w:rsidR="0046628F">
        <w:rPr>
          <w:rFonts w:ascii="Arial" w:hAnsi="Arial" w:cs="Arial"/>
          <w:b/>
          <w:bCs/>
          <w:sz w:val="24"/>
        </w:rPr>
        <w:t>simple</w:t>
      </w:r>
      <w:r w:rsidR="009D564E">
        <w:rPr>
          <w:rFonts w:ascii="Arial" w:hAnsi="Arial" w:cs="Arial"/>
          <w:b/>
          <w:bCs/>
          <w:sz w:val="24"/>
        </w:rPr>
        <w:t xml:space="preserve"> answers to important questions</w:t>
      </w:r>
    </w:p>
    <w:p w14:paraId="1F147C23" w14:textId="4CA780F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27114" w:rsidRPr="00827114">
        <w:rPr>
          <w:rFonts w:ascii="Arial" w:hAnsi="Arial" w:cs="Arial"/>
          <w:b/>
          <w:bCs/>
          <w:sz w:val="24"/>
        </w:rPr>
        <w:t>LTE_feMob</w:t>
      </w:r>
      <w:proofErr w:type="spellEnd"/>
      <w:r w:rsidR="00827114" w:rsidRPr="00827114">
        <w:rPr>
          <w:rFonts w:ascii="Arial" w:hAnsi="Arial" w:cs="Arial"/>
          <w:b/>
          <w:bCs/>
          <w:sz w:val="24"/>
        </w:rPr>
        <w:t>-Core</w:t>
      </w:r>
      <w:r w:rsidR="00827114" w:rsidRPr="00827114" w:rsidDel="00827114">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546F2313" w:rsidR="00A209D6" w:rsidRDefault="00EC2EAE" w:rsidP="00A209D6">
      <w:r>
        <w:t>The following agreements and FFSs regarding CHO in LTE have been listed [1]:</w:t>
      </w:r>
    </w:p>
    <w:tbl>
      <w:tblPr>
        <w:tblStyle w:val="TableGrid"/>
        <w:tblW w:w="0" w:type="auto"/>
        <w:tblLook w:val="04A0" w:firstRow="1" w:lastRow="0" w:firstColumn="1" w:lastColumn="0" w:noHBand="0" w:noVBand="1"/>
      </w:tblPr>
      <w:tblGrid>
        <w:gridCol w:w="9631"/>
      </w:tblGrid>
      <w:tr w:rsidR="003A1632" w14:paraId="7AF9E0C2" w14:textId="77777777" w:rsidTr="003A1632">
        <w:tc>
          <w:tcPr>
            <w:tcW w:w="9631" w:type="dxa"/>
          </w:tcPr>
          <w:p w14:paraId="7C47A909" w14:textId="77777777" w:rsidR="003A1632" w:rsidRPr="003A1632" w:rsidRDefault="003A1632" w:rsidP="003A1632">
            <w:pPr>
              <w:rPr>
                <w:lang w:val="en-US"/>
              </w:rPr>
            </w:pPr>
            <w:r w:rsidRPr="003A1632">
              <w:t xml:space="preserve">The CHO command contains at least the configuration information of target cell(s) and triggering conditions. </w:t>
            </w:r>
          </w:p>
          <w:p w14:paraId="642CB062" w14:textId="77777777" w:rsidR="003A1632" w:rsidRPr="003A1632" w:rsidRDefault="003A1632" w:rsidP="003A1632">
            <w:pPr>
              <w:rPr>
                <w:lang w:val="en-US"/>
              </w:rPr>
            </w:pPr>
            <w:r w:rsidRPr="003A1632">
              <w:t xml:space="preserve">=&gt; FFS who decides the triggering conditions (source, target or </w:t>
            </w:r>
            <w:proofErr w:type="spellStart"/>
            <w:r w:rsidRPr="003A1632">
              <w:t>source+target</w:t>
            </w:r>
            <w:proofErr w:type="spellEnd"/>
            <w:r w:rsidRPr="003A1632">
              <w:t>)</w:t>
            </w:r>
          </w:p>
          <w:p w14:paraId="21779205" w14:textId="77777777" w:rsidR="003A1632" w:rsidRPr="003A1632" w:rsidRDefault="003A1632" w:rsidP="003A1632">
            <w:pPr>
              <w:rPr>
                <w:lang w:val="en-US"/>
              </w:rPr>
            </w:pPr>
            <w:r w:rsidRPr="003A1632">
              <w:t>=&gt; FFS on transparent containers.</w:t>
            </w:r>
          </w:p>
          <w:p w14:paraId="03298B4F" w14:textId="77777777" w:rsidR="003A1632" w:rsidRPr="003A1632" w:rsidRDefault="003A1632" w:rsidP="003A1632">
            <w:pPr>
              <w:rPr>
                <w:lang w:val="en-US"/>
              </w:rPr>
            </w:pPr>
            <w:r w:rsidRPr="003A1632">
              <w:t>=&gt; FFS on the Stage-3 details</w:t>
            </w:r>
          </w:p>
          <w:p w14:paraId="330A5E71" w14:textId="77777777" w:rsidR="00F024EE" w:rsidRPr="00F024EE" w:rsidRDefault="00F024EE" w:rsidP="00F024EE">
            <w:pPr>
              <w:rPr>
                <w:lang w:val="en-US"/>
              </w:rPr>
            </w:pPr>
            <w:proofErr w:type="gramStart"/>
            <w:r w:rsidRPr="00F024EE">
              <w:t>1  Existing</w:t>
            </w:r>
            <w:proofErr w:type="gramEnd"/>
            <w:r w:rsidRPr="00F024EE">
              <w:t xml:space="preserve"> </w:t>
            </w:r>
            <w:proofErr w:type="spellStart"/>
            <w:r w:rsidRPr="00F024EE">
              <w:t>Ax</w:t>
            </w:r>
            <w:proofErr w:type="spellEnd"/>
            <w:r w:rsidRPr="00F024EE">
              <w:t xml:space="preserve"> measurement events can be used for executing CHO. FFS which </w:t>
            </w:r>
            <w:proofErr w:type="spellStart"/>
            <w:r w:rsidRPr="00F024EE">
              <w:t>Ax</w:t>
            </w:r>
            <w:proofErr w:type="spellEnd"/>
            <w:r w:rsidRPr="00F024EE">
              <w:t xml:space="preserve"> events can be used.</w:t>
            </w:r>
          </w:p>
          <w:p w14:paraId="2FD5E5C0" w14:textId="77777777" w:rsidR="00F024EE" w:rsidRPr="00F024EE" w:rsidRDefault="00F024EE" w:rsidP="00F024EE">
            <w:pPr>
              <w:rPr>
                <w:lang w:val="en-US"/>
              </w:rPr>
            </w:pPr>
            <w:proofErr w:type="gramStart"/>
            <w:r w:rsidRPr="00F024EE">
              <w:t>2  Conventional</w:t>
            </w:r>
            <w:proofErr w:type="gramEnd"/>
            <w:r w:rsidRPr="00F024EE">
              <w:t xml:space="preserve"> handover overrides any configured conditional handover command</w:t>
            </w:r>
          </w:p>
          <w:p w14:paraId="3BDBCDC8" w14:textId="77777777" w:rsidR="00F024EE" w:rsidRPr="00F024EE" w:rsidRDefault="00F024EE" w:rsidP="00F024EE">
            <w:pPr>
              <w:rPr>
                <w:lang w:val="en-US"/>
              </w:rPr>
            </w:pPr>
            <w:proofErr w:type="gramStart"/>
            <w:r w:rsidRPr="00F024EE">
              <w:t>3  The</w:t>
            </w:r>
            <w:proofErr w:type="gramEnd"/>
            <w:r w:rsidRPr="00F024EE">
              <w:t xml:space="preserve"> network can inform the UE to release CHO configurations (e.g. candidate cells) by RRC </w:t>
            </w:r>
            <w:proofErr w:type="spellStart"/>
            <w:r w:rsidRPr="00F024EE">
              <w:t>signaling</w:t>
            </w:r>
            <w:proofErr w:type="spellEnd"/>
            <w:r w:rsidRPr="00F024EE">
              <w:t>.</w:t>
            </w:r>
          </w:p>
          <w:p w14:paraId="7A723760" w14:textId="77777777" w:rsidR="00F024EE" w:rsidRPr="00F024EE" w:rsidRDefault="00F024EE" w:rsidP="00F024EE">
            <w:pPr>
              <w:rPr>
                <w:lang w:val="en-US"/>
              </w:rPr>
            </w:pPr>
            <w:r w:rsidRPr="00F024EE">
              <w:t xml:space="preserve">=&gt; FFS how “CHO </w:t>
            </w:r>
            <w:proofErr w:type="spellStart"/>
            <w:r w:rsidRPr="00F024EE">
              <w:t>cmd</w:t>
            </w:r>
            <w:proofErr w:type="spellEnd"/>
            <w:r w:rsidRPr="00F024EE">
              <w:t xml:space="preserve">” is formulated in Stage-3 signalling </w:t>
            </w:r>
          </w:p>
          <w:p w14:paraId="0AC34B93" w14:textId="77777777" w:rsidR="00F024EE" w:rsidRPr="00F024EE" w:rsidRDefault="00F024EE" w:rsidP="00F024EE">
            <w:pPr>
              <w:rPr>
                <w:lang w:val="en-US"/>
              </w:rPr>
            </w:pPr>
            <w:r w:rsidRPr="00F024EE">
              <w:t xml:space="preserve">=&gt; FFS whether UE continues to receive source cell while executing CHO cmd. </w:t>
            </w:r>
          </w:p>
          <w:p w14:paraId="0136F6E3" w14:textId="77777777" w:rsidR="00F024EE" w:rsidRPr="00F024EE" w:rsidRDefault="00F024EE" w:rsidP="00F024EE">
            <w:pPr>
              <w:rPr>
                <w:lang w:val="en-US"/>
              </w:rPr>
            </w:pPr>
            <w:r w:rsidRPr="00F024EE">
              <w:t xml:space="preserve">=&gt; FFS what UE does if it receives HO </w:t>
            </w:r>
            <w:proofErr w:type="spellStart"/>
            <w:r w:rsidRPr="00F024EE">
              <w:t>cmd</w:t>
            </w:r>
            <w:proofErr w:type="spellEnd"/>
            <w:r w:rsidRPr="00F024EE">
              <w:t xml:space="preserve"> while executing CHO cmd. </w:t>
            </w:r>
          </w:p>
          <w:p w14:paraId="34AA0396" w14:textId="77777777" w:rsidR="00F024EE" w:rsidRPr="00F024EE" w:rsidRDefault="00F024EE" w:rsidP="00F024EE">
            <w:pPr>
              <w:rPr>
                <w:lang w:val="en-US"/>
              </w:rPr>
            </w:pPr>
            <w:r w:rsidRPr="00F024EE">
              <w:t xml:space="preserve">=&gt; FFS what UE does if NW removes CHO </w:t>
            </w:r>
            <w:proofErr w:type="spellStart"/>
            <w:r w:rsidRPr="00F024EE">
              <w:t>cmd</w:t>
            </w:r>
            <w:proofErr w:type="spellEnd"/>
            <w:r w:rsidRPr="00F024EE">
              <w:t xml:space="preserve"> while executing the same CHO cmd. </w:t>
            </w:r>
          </w:p>
          <w:p w14:paraId="79584FE8" w14:textId="77777777" w:rsidR="00443146" w:rsidRPr="00F024EE" w:rsidRDefault="004D693F" w:rsidP="00F024EE">
            <w:pPr>
              <w:numPr>
                <w:ilvl w:val="0"/>
                <w:numId w:val="12"/>
              </w:numPr>
              <w:rPr>
                <w:lang w:val="en-US"/>
              </w:rPr>
            </w:pPr>
            <w:r w:rsidRPr="00F024EE">
              <w:t>FFS whether UE stores CHO commands in failure cases</w:t>
            </w:r>
          </w:p>
          <w:p w14:paraId="03700198" w14:textId="2DE86B52" w:rsidR="003A1632" w:rsidRPr="00EC2EAE" w:rsidRDefault="004D693F" w:rsidP="00BB2342">
            <w:pPr>
              <w:numPr>
                <w:ilvl w:val="0"/>
                <w:numId w:val="12"/>
              </w:numPr>
              <w:rPr>
                <w:lang w:val="en-US"/>
              </w:rPr>
            </w:pPr>
            <w:r w:rsidRPr="00F024EE">
              <w:t>FFS whether CHO candidates can be released via other means.</w:t>
            </w:r>
          </w:p>
        </w:tc>
      </w:tr>
    </w:tbl>
    <w:p w14:paraId="62A5C3A7" w14:textId="7711B3AE" w:rsidR="003A1632" w:rsidRDefault="003A1632" w:rsidP="00A209D6"/>
    <w:p w14:paraId="7D27025C" w14:textId="797A6A18" w:rsidR="00EC2EAE" w:rsidRPr="006E13D1" w:rsidRDefault="00EC2EAE" w:rsidP="00A209D6">
      <w:r>
        <w:t>This paper is aimed at resolving the LTE CHO open points</w:t>
      </w:r>
      <w:r w:rsidR="00207CA3">
        <w:t>, captured in the Chairman notes during the previous RAN2 meetings.</w:t>
      </w:r>
    </w:p>
    <w:p w14:paraId="11CCE63F" w14:textId="77777777" w:rsidR="003A1632" w:rsidRDefault="003A1632" w:rsidP="003A1632">
      <w:pPr>
        <w:pStyle w:val="Heading1"/>
      </w:pPr>
      <w:r>
        <w:t>2</w:t>
      </w:r>
      <w:r w:rsidRPr="006E13D1">
        <w:tab/>
      </w:r>
      <w:r>
        <w:t>Discussion</w:t>
      </w:r>
    </w:p>
    <w:p w14:paraId="5886F7CB" w14:textId="0FF1443B" w:rsidR="005E0412" w:rsidRDefault="005E0412" w:rsidP="005E0412">
      <w:pPr>
        <w:pStyle w:val="Heading2"/>
      </w:pPr>
      <w:r>
        <w:t>2.0</w:t>
      </w:r>
      <w:r>
        <w:tab/>
        <w:t>Support of CHO</w:t>
      </w:r>
    </w:p>
    <w:p w14:paraId="083EE708" w14:textId="7351ADF7" w:rsidR="00AE6C7A" w:rsidRDefault="005E0412" w:rsidP="005E0412">
      <w:pPr>
        <w:jc w:val="both"/>
      </w:pPr>
      <w:r>
        <w:t xml:space="preserve">While the work on CHO has progressed already, </w:t>
      </w:r>
      <w:r w:rsidR="00D840EC">
        <w:t xml:space="preserve">it was pointed out during RAN2#105bis that </w:t>
      </w:r>
      <w:r>
        <w:t xml:space="preserve">RAN2 has not yet formally agreed to support </w:t>
      </w:r>
      <w:r w:rsidR="00677B7B">
        <w:t xml:space="preserve">CHO for LTE (unlike for NR). </w:t>
      </w:r>
      <w:r w:rsidR="00AE6C7A">
        <w:t xml:space="preserve">The basic agreement during RAN2#104 was </w:t>
      </w:r>
      <w:r w:rsidR="00D840EC">
        <w:t xml:space="preserve">only </w:t>
      </w:r>
      <w:r w:rsidR="00AE6C7A">
        <w:t>to “consider” the CHO, as shown below:</w:t>
      </w:r>
    </w:p>
    <w:p w14:paraId="31A893EF" w14:textId="77777777" w:rsidR="00AE6C7A" w:rsidRDefault="00AE6C7A" w:rsidP="001E2AFF">
      <w:pPr>
        <w:pStyle w:val="Doc-text2"/>
        <w:pBdr>
          <w:top w:val="single" w:sz="4" w:space="1" w:color="auto"/>
          <w:left w:val="single" w:sz="4" w:space="31" w:color="auto"/>
          <w:bottom w:val="single" w:sz="4" w:space="1" w:color="auto"/>
          <w:right w:val="single" w:sz="4" w:space="4" w:color="auto"/>
        </w:pBdr>
      </w:pPr>
      <w:r>
        <w:t>1</w:t>
      </w:r>
      <w:r>
        <w:tab/>
        <w:t xml:space="preserve">RAN2 will </w:t>
      </w:r>
      <w:r w:rsidRPr="00BB2342">
        <w:rPr>
          <w:highlight w:val="yellow"/>
        </w:rPr>
        <w:t>consider</w:t>
      </w:r>
      <w:r>
        <w:t xml:space="preserve"> a conditional handover: This is defined as UE having network configuration for initiating access to a target cell based on configured condition(s). </w:t>
      </w:r>
    </w:p>
    <w:p w14:paraId="3FA82BE4" w14:textId="77777777" w:rsidR="00AE6C7A" w:rsidRDefault="00AE6C7A" w:rsidP="005E0412">
      <w:pPr>
        <w:jc w:val="both"/>
      </w:pPr>
    </w:p>
    <w:p w14:paraId="3D08802D" w14:textId="18B89FF3" w:rsidR="00AE6C7A" w:rsidRDefault="00677B7B" w:rsidP="005E0412">
      <w:pPr>
        <w:jc w:val="both"/>
      </w:pPr>
      <w:r>
        <w:lastRenderedPageBreak/>
        <w:t xml:space="preserve">Since there seems to be </w:t>
      </w:r>
      <w:r w:rsidR="00AE6C7A">
        <w:t>rathe</w:t>
      </w:r>
      <w:r w:rsidR="0073269A">
        <w:t>r</w:t>
      </w:r>
      <w:r w:rsidR="00AE6C7A">
        <w:t xml:space="preserve"> large support for CHO</w:t>
      </w:r>
      <w:r w:rsidR="0073269A">
        <w:t xml:space="preserve"> and the work has already progressed quite a bit without companies disagreeing to develop the CHO procedures</w:t>
      </w:r>
      <w:r w:rsidR="00AE6C7A">
        <w:t>, we would propose to codify the support of CHO in Rel-16 with a formal agreement to avoid later ambiguities.</w:t>
      </w:r>
    </w:p>
    <w:p w14:paraId="2502714B" w14:textId="026020EA" w:rsidR="00AE6C7A" w:rsidRPr="00BB2342" w:rsidRDefault="00AE6C7A" w:rsidP="005E0412">
      <w:pPr>
        <w:jc w:val="both"/>
        <w:rPr>
          <w:b/>
        </w:rPr>
      </w:pPr>
      <w:r w:rsidRPr="00BB2342">
        <w:rPr>
          <w:b/>
        </w:rPr>
        <w:t xml:space="preserve">Proposal 0: </w:t>
      </w:r>
      <w:r w:rsidR="00DD7F7A" w:rsidRPr="00BB2342">
        <w:rPr>
          <w:b/>
        </w:rPr>
        <w:t xml:space="preserve">Conditional handover (CHO) </w:t>
      </w:r>
      <w:r w:rsidR="00E24D62" w:rsidRPr="00BB2342">
        <w:rPr>
          <w:b/>
        </w:rPr>
        <w:t>is introduced in LTE to solve robustness/reliability issue.</w:t>
      </w:r>
      <w:r w:rsidR="00DD7F7A" w:rsidRPr="00BB2342">
        <w:rPr>
          <w:b/>
        </w:rPr>
        <w:t xml:space="preserve"> </w:t>
      </w:r>
    </w:p>
    <w:p w14:paraId="7CA9CC36" w14:textId="4485F3E2" w:rsidR="003A1632" w:rsidRDefault="003A1632" w:rsidP="003A1632">
      <w:pPr>
        <w:pStyle w:val="Heading2"/>
      </w:pPr>
      <w:r>
        <w:t>2.1</w:t>
      </w:r>
      <w:r>
        <w:tab/>
        <w:t xml:space="preserve">Who decides </w:t>
      </w:r>
      <w:r w:rsidR="00F50D90">
        <w:t xml:space="preserve">on </w:t>
      </w:r>
      <w:r>
        <w:t xml:space="preserve">the </w:t>
      </w:r>
      <w:r w:rsidR="00F50D90">
        <w:t xml:space="preserve">CHO </w:t>
      </w:r>
      <w:r>
        <w:t>triggering conditions</w:t>
      </w:r>
    </w:p>
    <w:p w14:paraId="190C1ED8" w14:textId="77777777" w:rsidR="003A1632" w:rsidRDefault="003A1632" w:rsidP="003A1632">
      <w:pPr>
        <w:jc w:val="both"/>
      </w:pPr>
      <w:r>
        <w:t>There are basically three options for configuring the CHO condition:</w:t>
      </w:r>
    </w:p>
    <w:p w14:paraId="0107F540" w14:textId="77777777" w:rsidR="003A1632" w:rsidRDefault="003A1632" w:rsidP="003A1632">
      <w:pPr>
        <w:pStyle w:val="ListParagraph"/>
        <w:numPr>
          <w:ilvl w:val="0"/>
          <w:numId w:val="8"/>
        </w:numPr>
        <w:jc w:val="both"/>
      </w:pPr>
      <w:r>
        <w:t>The target cell configures the condition (and embeds it into the HO Command)</w:t>
      </w:r>
    </w:p>
    <w:p w14:paraId="2958553E" w14:textId="77777777" w:rsidR="003A1632" w:rsidRDefault="003A1632" w:rsidP="003A1632">
      <w:pPr>
        <w:pStyle w:val="ListParagraph"/>
        <w:numPr>
          <w:ilvl w:val="0"/>
          <w:numId w:val="8"/>
        </w:numPr>
        <w:jc w:val="both"/>
      </w:pPr>
      <w:r>
        <w:t>The source cell adds the condition to the RRC reconfiguration carrying the HO Command</w:t>
      </w:r>
    </w:p>
    <w:p w14:paraId="3CCAFFD2" w14:textId="77777777" w:rsidR="003A1632" w:rsidRDefault="003A1632" w:rsidP="003A1632">
      <w:pPr>
        <w:pStyle w:val="ListParagraph"/>
        <w:numPr>
          <w:ilvl w:val="0"/>
          <w:numId w:val="8"/>
        </w:numPr>
        <w:jc w:val="both"/>
      </w:pPr>
      <w:r>
        <w:t>The source cell provides the condition in the Handover Request, and the target inserts it into the HO Command</w:t>
      </w:r>
    </w:p>
    <w:p w14:paraId="52C4E787" w14:textId="743694B4" w:rsidR="003A1632" w:rsidRDefault="003A1632" w:rsidP="003A1632">
      <w:pPr>
        <w:jc w:val="both"/>
      </w:pPr>
      <w:r>
        <w:t xml:space="preserve">We believe that the source </w:t>
      </w:r>
      <w:r w:rsidR="00253AF0">
        <w:t>node</w:t>
      </w:r>
      <w:r>
        <w:t xml:space="preserve"> has much more knowledge about the UE properties (e.g. mobility, </w:t>
      </w:r>
      <w:r w:rsidR="002D5702">
        <w:t xml:space="preserve">active </w:t>
      </w:r>
      <w:r>
        <w:t>service</w:t>
      </w:r>
      <w:r w:rsidR="002D5702">
        <w:t>s</w:t>
      </w:r>
      <w:r>
        <w:t xml:space="preserve">, etc.) as well as about the radio conditions in its cells (e.g. interference). Furthermore, if multiple target candidates are configured, the source may align the conditions. The source cell may even want to change the condition, which would not be possible with the last option, which looks cumbersome anyway. Assuming the </w:t>
      </w:r>
      <w:proofErr w:type="gramStart"/>
      <w:r>
        <w:t>aforementioned responsibility</w:t>
      </w:r>
      <w:proofErr w:type="gramEnd"/>
      <w:r>
        <w:t xml:space="preserve"> of the source cell, it also does not seem natural to have the condition as part of the </w:t>
      </w:r>
      <w:r w:rsidR="00283381">
        <w:t>C</w:t>
      </w:r>
      <w:r>
        <w:t xml:space="preserve">HO </w:t>
      </w:r>
      <w:r w:rsidR="003418AD">
        <w:t>configuration/c</w:t>
      </w:r>
      <w:r>
        <w:t xml:space="preserve">ommand </w:t>
      </w:r>
      <w:r w:rsidR="003418AD">
        <w:t>that</w:t>
      </w:r>
      <w:r>
        <w:t xml:space="preserve"> is generated by the target cell.</w:t>
      </w:r>
      <w:r w:rsidR="00EF0E67">
        <w:t xml:space="preserve"> This is similar as was done in Rel-14 MBB</w:t>
      </w:r>
      <w:r w:rsidR="00035EE2">
        <w:t>.</w:t>
      </w:r>
    </w:p>
    <w:p w14:paraId="66F30C18" w14:textId="6CF3BFC3" w:rsidR="003A1632" w:rsidRDefault="003A1632" w:rsidP="003A1632">
      <w:pPr>
        <w:jc w:val="both"/>
        <w:rPr>
          <w:b/>
        </w:rPr>
      </w:pPr>
      <w:r>
        <w:rPr>
          <w:b/>
        </w:rPr>
        <w:t xml:space="preserve">Proposal 1: The source cell adds the condition to the RRC </w:t>
      </w:r>
      <w:r w:rsidR="00D058D7">
        <w:rPr>
          <w:b/>
        </w:rPr>
        <w:t>message</w:t>
      </w:r>
      <w:r>
        <w:rPr>
          <w:b/>
        </w:rPr>
        <w:t xml:space="preserve"> carrying the </w:t>
      </w:r>
      <w:r w:rsidR="00D058D7">
        <w:rPr>
          <w:b/>
        </w:rPr>
        <w:t>C</w:t>
      </w:r>
      <w:r>
        <w:rPr>
          <w:b/>
        </w:rPr>
        <w:t xml:space="preserve">HO Command (i.e. </w:t>
      </w:r>
      <w:r w:rsidR="00BA33C9">
        <w:rPr>
          <w:b/>
        </w:rPr>
        <w:t xml:space="preserve">RRC </w:t>
      </w:r>
      <w:r w:rsidR="00253AF0">
        <w:rPr>
          <w:b/>
        </w:rPr>
        <w:t xml:space="preserve">reconfiguration </w:t>
      </w:r>
      <w:r>
        <w:rPr>
          <w:b/>
        </w:rPr>
        <w:t xml:space="preserve">with </w:t>
      </w:r>
      <w:proofErr w:type="spellStart"/>
      <w:r w:rsidRPr="00314087">
        <w:rPr>
          <w:b/>
          <w:i/>
        </w:rPr>
        <w:t>mobilityControlInfo</w:t>
      </w:r>
      <w:proofErr w:type="spellEnd"/>
      <w:r>
        <w:rPr>
          <w:b/>
        </w:rPr>
        <w:t>).</w:t>
      </w:r>
    </w:p>
    <w:p w14:paraId="3BA775F1" w14:textId="44B09081" w:rsidR="003A1632" w:rsidRDefault="003A1632" w:rsidP="00C849C2">
      <w:pPr>
        <w:pStyle w:val="Heading2"/>
      </w:pPr>
      <w:r>
        <w:t>2.2</w:t>
      </w:r>
      <w:r>
        <w:tab/>
        <w:t>Multiple HO Commands in the same RRC message</w:t>
      </w:r>
    </w:p>
    <w:p w14:paraId="0CC4E8C8" w14:textId="3E8FA01F" w:rsidR="003A1632" w:rsidRDefault="003A1632" w:rsidP="003A1632">
      <w:pPr>
        <w:jc w:val="both"/>
      </w:pPr>
      <w:r>
        <w:t xml:space="preserve">It has been proposed to allow the source cell to put multiple HO commands into the same RRC </w:t>
      </w:r>
      <w:r w:rsidR="00D976A0">
        <w:t>connection reconfiguration. Whereas such an aggregation would obviously save some signalling compared with sending multiple RRC connection reconfiguration</w:t>
      </w:r>
      <w:r w:rsidR="005D1DD6">
        <w:t>s</w:t>
      </w:r>
      <w:r w:rsidR="00D976A0">
        <w:t xml:space="preserve"> </w:t>
      </w:r>
      <w:r w:rsidR="001C1C99">
        <w:t>separately</w:t>
      </w:r>
      <w:r w:rsidR="00D976A0">
        <w:t>, we do not believe that these savings are relevant under practical conditions, and do not justify the specification effort needed</w:t>
      </w:r>
      <w:r w:rsidR="005D1DD6">
        <w:t>:</w:t>
      </w:r>
    </w:p>
    <w:p w14:paraId="620CB035" w14:textId="08B6EF5D" w:rsidR="003A1632" w:rsidRDefault="003A1632" w:rsidP="00D976A0">
      <w:pPr>
        <w:pStyle w:val="ListParagraph"/>
        <w:numPr>
          <w:ilvl w:val="0"/>
          <w:numId w:val="10"/>
        </w:numPr>
        <w:jc w:val="both"/>
      </w:pPr>
      <w:r>
        <w:t xml:space="preserve">It is not advisable to initiate preparation </w:t>
      </w:r>
      <w:r w:rsidR="00D976A0">
        <w:t xml:space="preserve">of multiple targets simultaneously </w:t>
      </w:r>
      <w:r>
        <w:t>based on a single measurement report, since typically only one cell has fulfilled the condition</w:t>
      </w:r>
      <w:r w:rsidR="00D976A0">
        <w:t>.</w:t>
      </w:r>
      <w:r>
        <w:t xml:space="preserve"> </w:t>
      </w:r>
      <w:r w:rsidR="00D976A0">
        <w:t>O</w:t>
      </w:r>
      <w:r>
        <w:t>therwise</w:t>
      </w:r>
      <w:r w:rsidR="00D976A0">
        <w:t>,</w:t>
      </w:r>
      <w:r>
        <w:t xml:space="preserve"> </w:t>
      </w:r>
      <w:r w:rsidR="00D976A0">
        <w:t>the consequence would be</w:t>
      </w:r>
      <w:r>
        <w:t xml:space="preserve"> false alarm</w:t>
      </w:r>
      <w:r w:rsidR="00D976A0">
        <w:t>s</w:t>
      </w:r>
      <w:r>
        <w:t xml:space="preserve"> leading to unnecessary </w:t>
      </w:r>
      <w:r w:rsidR="00D976A0">
        <w:t xml:space="preserve">preparation of targets, thereby unnecessary resource reservation in the target cells, more </w:t>
      </w:r>
      <w:proofErr w:type="spellStart"/>
      <w:r w:rsidR="00D976A0">
        <w:t>Xn</w:t>
      </w:r>
      <w:proofErr w:type="spellEnd"/>
      <w:r w:rsidR="00D976A0">
        <w:t xml:space="preserve"> signalling, more RRC signalling, etc</w:t>
      </w:r>
      <w:r>
        <w:t>.</w:t>
      </w:r>
    </w:p>
    <w:p w14:paraId="0CB6C10A" w14:textId="67CCFFC6" w:rsidR="00D976A0" w:rsidRDefault="00D976A0" w:rsidP="00D976A0">
      <w:pPr>
        <w:pStyle w:val="ListParagraph"/>
        <w:numPr>
          <w:ilvl w:val="0"/>
          <w:numId w:val="10"/>
        </w:numPr>
        <w:jc w:val="both"/>
      </w:pPr>
      <w:r>
        <w:t xml:space="preserve">Even if multiple preparations are initiated simultaneously, the HO Request Acknowledgements will likely not be received at the same time due to different X2 delays. </w:t>
      </w:r>
      <w:proofErr w:type="gramStart"/>
      <w:r>
        <w:t>In order to</w:t>
      </w:r>
      <w:proofErr w:type="gramEnd"/>
      <w:r>
        <w:t xml:space="preserve"> aggregate the HO Commands, the source cell has to wait for all responses which will delay the RRC reconfiguration unnecessarily, which</w:t>
      </w:r>
      <w:r w:rsidR="005D1DD6">
        <w:t xml:space="preserve"> in consequence,</w:t>
      </w:r>
      <w:r>
        <w:t xml:space="preserve"> may lead to too late handovers.</w:t>
      </w:r>
    </w:p>
    <w:p w14:paraId="0FF595DD" w14:textId="12190F63" w:rsidR="00F024EE" w:rsidRDefault="00D976A0" w:rsidP="00F024EE">
      <w:pPr>
        <w:pStyle w:val="ListParagraph"/>
        <w:numPr>
          <w:ilvl w:val="0"/>
          <w:numId w:val="10"/>
        </w:numPr>
        <w:jc w:val="both"/>
      </w:pPr>
      <w:r>
        <w:t>If multiple preparations are not initiated simultaneously, aggregation of HO Commands can only be forced by “waiting” for further preparations, which leads to even more dangerous delays in configuring the handovers. This cannibalizes part</w:t>
      </w:r>
      <w:r w:rsidR="001A02F2">
        <w:t>ially</w:t>
      </w:r>
      <w:r>
        <w:t xml:space="preserve"> the CHO benefits.</w:t>
      </w:r>
    </w:p>
    <w:p w14:paraId="331928B5" w14:textId="1DAF9C5C" w:rsidR="003A1632" w:rsidRDefault="00F024EE" w:rsidP="00F024EE">
      <w:pPr>
        <w:jc w:val="both"/>
      </w:pPr>
      <w:r>
        <w:t xml:space="preserve">So, unless we want to risk “preparation storms” or unnecessary too late CHO preparations, there will only be very rare cases where the source cell </w:t>
      </w:r>
      <w:proofErr w:type="gramStart"/>
      <w:r>
        <w:t>has to</w:t>
      </w:r>
      <w:proofErr w:type="gramEnd"/>
      <w:r>
        <w:t xml:space="preserve"> configure the UE for CHO to multiple targets at the same time, thus the additional effort should be saved.</w:t>
      </w:r>
    </w:p>
    <w:p w14:paraId="7922F3AE" w14:textId="2437BE6C" w:rsidR="003A1632" w:rsidRDefault="00513308" w:rsidP="003A1632">
      <w:pPr>
        <w:jc w:val="both"/>
        <w:rPr>
          <w:b/>
        </w:rPr>
      </w:pPr>
      <w:r>
        <w:rPr>
          <w:b/>
        </w:rPr>
        <w:t>Observation 1</w:t>
      </w:r>
      <w:r w:rsidR="003A1632">
        <w:rPr>
          <w:b/>
        </w:rPr>
        <w:t xml:space="preserve">: </w:t>
      </w:r>
      <w:r w:rsidR="00F024EE">
        <w:rPr>
          <w:b/>
        </w:rPr>
        <w:t xml:space="preserve">Aggregation of multiple CHO commands into the same RRC reconfiguration message will </w:t>
      </w:r>
      <w:r w:rsidR="007258AF">
        <w:rPr>
          <w:b/>
        </w:rPr>
        <w:t>bring</w:t>
      </w:r>
      <w:r w:rsidR="00F024EE">
        <w:rPr>
          <w:b/>
        </w:rPr>
        <w:t xml:space="preserve"> negligible benefits</w:t>
      </w:r>
      <w:r w:rsidR="007258AF">
        <w:rPr>
          <w:b/>
        </w:rPr>
        <w:t>, but</w:t>
      </w:r>
      <w:r w:rsidR="00F024EE">
        <w:rPr>
          <w:b/>
        </w:rPr>
        <w:t xml:space="preserve"> would create unnecessary standardization effort and complexity.</w:t>
      </w:r>
    </w:p>
    <w:p w14:paraId="4E18E841" w14:textId="099104D0" w:rsidR="00513308" w:rsidRDefault="00513308" w:rsidP="00513308">
      <w:pPr>
        <w:jc w:val="both"/>
        <w:rPr>
          <w:b/>
        </w:rPr>
      </w:pPr>
      <w:r>
        <w:rPr>
          <w:b/>
        </w:rPr>
        <w:t xml:space="preserve">Proposal 2: </w:t>
      </w:r>
      <w:r w:rsidRPr="00BB2342">
        <w:rPr>
          <w:b/>
        </w:rPr>
        <w:t xml:space="preserve">Individual CHO commands </w:t>
      </w:r>
      <w:r w:rsidR="00021C8E">
        <w:rPr>
          <w:b/>
        </w:rPr>
        <w:t xml:space="preserve">are sent separately, i.e. </w:t>
      </w:r>
      <w:r w:rsidRPr="00BB2342">
        <w:rPr>
          <w:b/>
        </w:rPr>
        <w:t>are no</w:t>
      </w:r>
      <w:r w:rsidR="004F48C5" w:rsidRPr="00BB2342">
        <w:rPr>
          <w:b/>
        </w:rPr>
        <w:t>t</w:t>
      </w:r>
      <w:r w:rsidRPr="00BB2342">
        <w:rPr>
          <w:b/>
        </w:rPr>
        <w:t xml:space="preserve"> merged into a single RRC Reconfiguration message at the source </w:t>
      </w:r>
      <w:proofErr w:type="spellStart"/>
      <w:r w:rsidRPr="00BB2342">
        <w:rPr>
          <w:b/>
        </w:rPr>
        <w:t>eNB</w:t>
      </w:r>
      <w:proofErr w:type="spellEnd"/>
      <w:r w:rsidRPr="001A02F2">
        <w:rPr>
          <w:b/>
        </w:rPr>
        <w:t>.</w:t>
      </w:r>
    </w:p>
    <w:p w14:paraId="07BDBCCA" w14:textId="669B7331" w:rsidR="00F024EE" w:rsidRDefault="00F024EE" w:rsidP="00F024EE">
      <w:pPr>
        <w:pStyle w:val="Heading2"/>
      </w:pPr>
      <w:r>
        <w:t>2.3</w:t>
      </w:r>
      <w:r>
        <w:tab/>
      </w:r>
      <w:proofErr w:type="spellStart"/>
      <w:r>
        <w:t>Ax</w:t>
      </w:r>
      <w:proofErr w:type="spellEnd"/>
      <w:r>
        <w:t xml:space="preserve"> measurement</w:t>
      </w:r>
      <w:r w:rsidR="0038631B">
        <w:t xml:space="preserve"> events</w:t>
      </w:r>
    </w:p>
    <w:tbl>
      <w:tblPr>
        <w:tblStyle w:val="TableGrid"/>
        <w:tblW w:w="0" w:type="auto"/>
        <w:tblLook w:val="04A0" w:firstRow="1" w:lastRow="0" w:firstColumn="1" w:lastColumn="0" w:noHBand="0" w:noVBand="1"/>
      </w:tblPr>
      <w:tblGrid>
        <w:gridCol w:w="9631"/>
      </w:tblGrid>
      <w:tr w:rsidR="00A126C6" w14:paraId="5005E8DE" w14:textId="77777777" w:rsidTr="00A126C6">
        <w:tc>
          <w:tcPr>
            <w:tcW w:w="9631" w:type="dxa"/>
          </w:tcPr>
          <w:p w14:paraId="25E4A7CB" w14:textId="0BB74E2D" w:rsidR="00A126C6" w:rsidRPr="00A126C6" w:rsidRDefault="001A02F2" w:rsidP="00A126C6">
            <w:pPr>
              <w:rPr>
                <w:lang w:val="en-US"/>
              </w:rPr>
            </w:pPr>
            <w:r w:rsidRPr="00F024EE">
              <w:t>1 Existing</w:t>
            </w:r>
            <w:r w:rsidR="00A126C6" w:rsidRPr="00F024EE">
              <w:t xml:space="preserve"> </w:t>
            </w:r>
            <w:proofErr w:type="spellStart"/>
            <w:r w:rsidR="00A126C6" w:rsidRPr="00F024EE">
              <w:t>Ax</w:t>
            </w:r>
            <w:proofErr w:type="spellEnd"/>
            <w:r w:rsidR="00A126C6" w:rsidRPr="00F024EE">
              <w:t xml:space="preserve"> measurement events can be used for executing CHO. FFS which </w:t>
            </w:r>
            <w:proofErr w:type="spellStart"/>
            <w:r w:rsidR="00A126C6" w:rsidRPr="00F024EE">
              <w:t>Ax</w:t>
            </w:r>
            <w:proofErr w:type="spellEnd"/>
            <w:r w:rsidR="00A126C6" w:rsidRPr="00F024EE">
              <w:t xml:space="preserve"> events can be used.</w:t>
            </w:r>
          </w:p>
        </w:tc>
      </w:tr>
    </w:tbl>
    <w:p w14:paraId="1C036C28" w14:textId="6293E075" w:rsidR="00A126C6" w:rsidRDefault="00A126C6" w:rsidP="00A126C6">
      <w:pPr>
        <w:jc w:val="both"/>
      </w:pPr>
      <w:r>
        <w:t xml:space="preserve">Whereas we agree that the </w:t>
      </w:r>
      <w:proofErr w:type="spellStart"/>
      <w:r>
        <w:t>Ax</w:t>
      </w:r>
      <w:proofErr w:type="spellEnd"/>
      <w:r>
        <w:t xml:space="preserve"> principles shall be used</w:t>
      </w:r>
      <w:r w:rsidR="007258AF">
        <w:t xml:space="preserve"> for CHO execution</w:t>
      </w:r>
      <w:r>
        <w:t>, we believe that some formal issues should be clarified:</w:t>
      </w:r>
    </w:p>
    <w:p w14:paraId="7D792703" w14:textId="4F9C9C5F" w:rsidR="00A126C6" w:rsidRDefault="00A126C6" w:rsidP="00A126C6">
      <w:pPr>
        <w:pStyle w:val="ListParagraph"/>
        <w:numPr>
          <w:ilvl w:val="0"/>
          <w:numId w:val="8"/>
        </w:numPr>
        <w:jc w:val="both"/>
      </w:pPr>
      <w:proofErr w:type="spellStart"/>
      <w:r>
        <w:t>Ax</w:t>
      </w:r>
      <w:proofErr w:type="spellEnd"/>
      <w:r>
        <w:t xml:space="preserve"> are measurement reporting events, i.e. </w:t>
      </w:r>
      <w:proofErr w:type="spellStart"/>
      <w:r>
        <w:t>Ax</w:t>
      </w:r>
      <w:proofErr w:type="spellEnd"/>
      <w:r>
        <w:t xml:space="preserve"> expiry will trigger a measurement report. Expiry of CHO condition shall not trigger a measurement report, </w:t>
      </w:r>
      <w:r w:rsidR="00320F2D">
        <w:t xml:space="preserve">but </w:t>
      </w:r>
      <w:r>
        <w:t xml:space="preserve">instead shall trigger the execution of the CHO. Hence, formally it </w:t>
      </w:r>
      <w:r>
        <w:lastRenderedPageBreak/>
        <w:t xml:space="preserve">cannot be a </w:t>
      </w:r>
      <w:r w:rsidR="00320F2D">
        <w:t>“</w:t>
      </w:r>
      <w:r>
        <w:t>measurement reporting event</w:t>
      </w:r>
      <w:r w:rsidR="00320F2D">
        <w:t>”</w:t>
      </w:r>
      <w:r>
        <w:t xml:space="preserve"> (although large parts of the RRC description and even ASN.1 can be reused).</w:t>
      </w:r>
    </w:p>
    <w:p w14:paraId="2BDA95D4" w14:textId="77777777" w:rsidR="00A126C6" w:rsidRDefault="00A126C6" w:rsidP="00A126C6">
      <w:pPr>
        <w:pStyle w:val="ListParagraph"/>
        <w:numPr>
          <w:ilvl w:val="0"/>
          <w:numId w:val="8"/>
        </w:numPr>
        <w:jc w:val="both"/>
      </w:pPr>
      <w:r>
        <w:t xml:space="preserve">The condition </w:t>
      </w:r>
      <w:proofErr w:type="gramStart"/>
      <w:r>
        <w:t>has to</w:t>
      </w:r>
      <w:proofErr w:type="gramEnd"/>
      <w:r>
        <w:t xml:space="preserve"> be evaluated for a single neighbour only, not for all, and only this single neighbour can meet the condition. This also </w:t>
      </w:r>
      <w:proofErr w:type="gramStart"/>
      <w:r>
        <w:t>has to</w:t>
      </w:r>
      <w:proofErr w:type="gramEnd"/>
      <w:r>
        <w:t xml:space="preserve"> be clarified.</w:t>
      </w:r>
    </w:p>
    <w:p w14:paraId="0F3E36DC" w14:textId="06464B49" w:rsidR="00A126C6" w:rsidRDefault="00A126C6" w:rsidP="00A126C6">
      <w:pPr>
        <w:pStyle w:val="ListParagraph"/>
        <w:numPr>
          <w:ilvl w:val="0"/>
          <w:numId w:val="8"/>
        </w:numPr>
        <w:jc w:val="both"/>
      </w:pPr>
      <w:r>
        <w:t xml:space="preserve">It also </w:t>
      </w:r>
      <w:proofErr w:type="gramStart"/>
      <w:r>
        <w:t>has to</w:t>
      </w:r>
      <w:proofErr w:type="gramEnd"/>
      <w:r>
        <w:t xml:space="preserve"> be clarified whether all offsets defined for the </w:t>
      </w:r>
      <w:proofErr w:type="spellStart"/>
      <w:r>
        <w:t>Ax</w:t>
      </w:r>
      <w:proofErr w:type="spellEnd"/>
      <w:r>
        <w:t xml:space="preserve"> event need to be applied.</w:t>
      </w:r>
    </w:p>
    <w:p w14:paraId="60CB5815" w14:textId="7CA2DC05" w:rsidR="00A126C6" w:rsidRDefault="00A126C6" w:rsidP="00A126C6">
      <w:pPr>
        <w:jc w:val="both"/>
        <w:rPr>
          <w:b/>
        </w:rPr>
      </w:pPr>
      <w:r>
        <w:rPr>
          <w:b/>
        </w:rPr>
        <w:t xml:space="preserve">Proposal 3: The format of the CHO </w:t>
      </w:r>
      <w:r w:rsidR="00AB54D8">
        <w:rPr>
          <w:b/>
        </w:rPr>
        <w:t xml:space="preserve">execution </w:t>
      </w:r>
      <w:r>
        <w:rPr>
          <w:b/>
        </w:rPr>
        <w:t xml:space="preserve">condition can </w:t>
      </w:r>
      <w:r w:rsidR="00D215EB">
        <w:rPr>
          <w:b/>
        </w:rPr>
        <w:t>re</w:t>
      </w:r>
      <w:r>
        <w:rPr>
          <w:b/>
        </w:rPr>
        <w:t xml:space="preserve">use large parts of the </w:t>
      </w:r>
      <w:proofErr w:type="spellStart"/>
      <w:r>
        <w:rPr>
          <w:b/>
        </w:rPr>
        <w:t>Ax</w:t>
      </w:r>
      <w:proofErr w:type="spellEnd"/>
      <w:r w:rsidR="00D215EB">
        <w:rPr>
          <w:b/>
        </w:rPr>
        <w:t>-event</w:t>
      </w:r>
      <w:r>
        <w:rPr>
          <w:b/>
        </w:rPr>
        <w:t xml:space="preserve"> </w:t>
      </w:r>
      <w:r w:rsidR="00D215EB">
        <w:rPr>
          <w:b/>
        </w:rPr>
        <w:t>ASN.1 structure</w:t>
      </w:r>
      <w:r>
        <w:rPr>
          <w:b/>
        </w:rPr>
        <w:t xml:space="preserve">, </w:t>
      </w:r>
      <w:r w:rsidR="00D215EB">
        <w:rPr>
          <w:b/>
        </w:rPr>
        <w:t xml:space="preserve">but is not configured </w:t>
      </w:r>
      <w:r>
        <w:rPr>
          <w:b/>
        </w:rPr>
        <w:t>as a measurement reporting event.</w:t>
      </w:r>
    </w:p>
    <w:p w14:paraId="73FF0660" w14:textId="37A8B89D" w:rsidR="00A126C6" w:rsidRDefault="00A126C6" w:rsidP="00A126C6">
      <w:pPr>
        <w:jc w:val="both"/>
      </w:pPr>
      <w:r>
        <w:t xml:space="preserve">With the discussion above, </w:t>
      </w:r>
      <w:proofErr w:type="gramStart"/>
      <w:r>
        <w:t>it is clear that the</w:t>
      </w:r>
      <w:proofErr w:type="gramEnd"/>
      <w:r>
        <w:t xml:space="preserve"> specification of the condition will require effort. Therefore, we believe that an A3-like condition is </w:t>
      </w:r>
      <w:proofErr w:type="gramStart"/>
      <w:r>
        <w:t>sufficient</w:t>
      </w:r>
      <w:proofErr w:type="gramEnd"/>
      <w:r>
        <w:t xml:space="preserve"> for the baseline CHO in the intra-frequency case. For the inter-frequency case, an A5-like condition would be more suitable. However, it is not obvious</w:t>
      </w:r>
      <w:r w:rsidR="00CE2E1B">
        <w:t xml:space="preserve"> to us</w:t>
      </w:r>
      <w:r>
        <w:t xml:space="preserve"> whether the inter-frequency case is</w:t>
      </w:r>
      <w:r w:rsidR="001A02F2">
        <w:t xml:space="preserve"> primarily</w:t>
      </w:r>
      <w:r>
        <w:t xml:space="preserve"> relevant for CHO. Other conditions (A1,</w:t>
      </w:r>
      <w:r w:rsidR="007258AF">
        <w:t xml:space="preserve"> </w:t>
      </w:r>
      <w:r>
        <w:t>A2,</w:t>
      </w:r>
      <w:r w:rsidR="007258AF">
        <w:t xml:space="preserve"> </w:t>
      </w:r>
      <w:r>
        <w:t>A4) shall not be discussed in Release</w:t>
      </w:r>
      <w:r w:rsidR="007258AF">
        <w:t>-</w:t>
      </w:r>
      <w:r>
        <w:t>16.</w:t>
      </w:r>
    </w:p>
    <w:p w14:paraId="19A48E88" w14:textId="62E1E275" w:rsidR="00A126C6" w:rsidRDefault="00A126C6" w:rsidP="00A126C6">
      <w:pPr>
        <w:jc w:val="both"/>
        <w:rPr>
          <w:b/>
        </w:rPr>
      </w:pPr>
      <w:r>
        <w:rPr>
          <w:b/>
        </w:rPr>
        <w:t xml:space="preserve">Proposal 4: A3-like CHO </w:t>
      </w:r>
      <w:r w:rsidR="00CE2E1B">
        <w:rPr>
          <w:b/>
        </w:rPr>
        <w:t xml:space="preserve">execution </w:t>
      </w:r>
      <w:r>
        <w:rPr>
          <w:b/>
        </w:rPr>
        <w:t xml:space="preserve">condition shall be specified. An A5-like CHO condition shall only be specified if inter-frequency CHO </w:t>
      </w:r>
      <w:proofErr w:type="gramStart"/>
      <w:r>
        <w:rPr>
          <w:b/>
        </w:rPr>
        <w:t>is considered to be</w:t>
      </w:r>
      <w:proofErr w:type="gramEnd"/>
      <w:r>
        <w:rPr>
          <w:b/>
        </w:rPr>
        <w:t xml:space="preserve"> relevant. Further conditions based on other than A3 and A5 principle</w:t>
      </w:r>
      <w:r w:rsidR="00CE2E1B">
        <w:rPr>
          <w:b/>
        </w:rPr>
        <w:t>s</w:t>
      </w:r>
      <w:r>
        <w:rPr>
          <w:b/>
        </w:rPr>
        <w:t xml:space="preserve"> shall not be </w:t>
      </w:r>
      <w:r w:rsidR="007F0280">
        <w:rPr>
          <w:b/>
        </w:rPr>
        <w:t>further considered</w:t>
      </w:r>
      <w:r>
        <w:rPr>
          <w:b/>
        </w:rPr>
        <w:t xml:space="preserve"> in LTE Release</w:t>
      </w:r>
      <w:r w:rsidR="00CE2E1B">
        <w:rPr>
          <w:b/>
        </w:rPr>
        <w:t>-</w:t>
      </w:r>
      <w:r>
        <w:rPr>
          <w:b/>
        </w:rPr>
        <w:t>16.</w:t>
      </w:r>
    </w:p>
    <w:p w14:paraId="778E33B2" w14:textId="0EB98D81" w:rsidR="00F024EE" w:rsidRDefault="00F024EE" w:rsidP="00F024EE">
      <w:pPr>
        <w:pStyle w:val="Heading2"/>
      </w:pPr>
      <w:r>
        <w:t>2.4</w:t>
      </w:r>
      <w:r>
        <w:tab/>
      </w:r>
      <w:r w:rsidR="0060020E">
        <w:t>Definition of “CHO Command”</w:t>
      </w:r>
    </w:p>
    <w:tbl>
      <w:tblPr>
        <w:tblStyle w:val="TableGrid"/>
        <w:tblW w:w="0" w:type="auto"/>
        <w:tblLook w:val="04A0" w:firstRow="1" w:lastRow="0" w:firstColumn="1" w:lastColumn="0" w:noHBand="0" w:noVBand="1"/>
      </w:tblPr>
      <w:tblGrid>
        <w:gridCol w:w="9631"/>
      </w:tblGrid>
      <w:tr w:rsidR="00E46A1B" w14:paraId="6EA05799" w14:textId="77777777" w:rsidTr="00575889">
        <w:tc>
          <w:tcPr>
            <w:tcW w:w="9631" w:type="dxa"/>
          </w:tcPr>
          <w:p w14:paraId="76FD4DD8" w14:textId="0CCC059A" w:rsidR="00E46A1B" w:rsidRPr="003A1632" w:rsidRDefault="00E46A1B" w:rsidP="00E46A1B">
            <w:pPr>
              <w:rPr>
                <w:lang w:val="en-US"/>
              </w:rPr>
            </w:pPr>
            <w:r w:rsidRPr="00BB2342">
              <w:t xml:space="preserve">=&gt; FFS how “CHO </w:t>
            </w:r>
            <w:proofErr w:type="spellStart"/>
            <w:r w:rsidRPr="00BB2342">
              <w:t>cmd</w:t>
            </w:r>
            <w:proofErr w:type="spellEnd"/>
            <w:r w:rsidRPr="00BB2342">
              <w:t>” is formulated in Stage-3 signalling</w:t>
            </w:r>
            <w:r w:rsidRPr="00F024EE">
              <w:t xml:space="preserve"> </w:t>
            </w:r>
          </w:p>
        </w:tc>
      </w:tr>
    </w:tbl>
    <w:p w14:paraId="4D612A8A" w14:textId="3208DC06" w:rsidR="0060020E" w:rsidRPr="005B2566" w:rsidRDefault="00D00318" w:rsidP="00F024EE">
      <w:pPr>
        <w:jc w:val="both"/>
      </w:pPr>
      <w:r>
        <w:br/>
      </w:r>
      <w:r w:rsidR="00D64BBF" w:rsidRPr="005B2566">
        <w:t xml:space="preserve">From our perspective, the </w:t>
      </w:r>
      <w:r w:rsidR="006340FB">
        <w:t xml:space="preserve">structure of </w:t>
      </w:r>
      <w:proofErr w:type="spellStart"/>
      <w:r w:rsidR="006340FB">
        <w:t>thye</w:t>
      </w:r>
      <w:proofErr w:type="spellEnd"/>
      <w:r w:rsidR="006340FB">
        <w:t xml:space="preserve"> </w:t>
      </w:r>
      <w:r w:rsidR="00D64BBF" w:rsidRPr="005B2566">
        <w:t xml:space="preserve">“CHO Command” </w:t>
      </w:r>
      <w:r w:rsidR="00032FE3">
        <w:t>can be</w:t>
      </w:r>
      <w:r w:rsidR="005B2566">
        <w:t xml:space="preserve"> </w:t>
      </w:r>
      <w:r w:rsidR="00D64BBF" w:rsidRPr="005B2566">
        <w:t xml:space="preserve">identical with the “HO Command”. More precisely, it shall refer to the </w:t>
      </w:r>
      <w:proofErr w:type="spellStart"/>
      <w:r w:rsidR="006340FB" w:rsidRPr="00BB2342">
        <w:rPr>
          <w:i/>
        </w:rPr>
        <w:t>RRCConnectionReconfiguration</w:t>
      </w:r>
      <w:proofErr w:type="spellEnd"/>
      <w:r w:rsidR="006340FB">
        <w:t xml:space="preserve"> including </w:t>
      </w:r>
      <w:proofErr w:type="spellStart"/>
      <w:r w:rsidRPr="00BB2342">
        <w:rPr>
          <w:i/>
        </w:rPr>
        <w:t>m</w:t>
      </w:r>
      <w:r w:rsidR="005B2566" w:rsidRPr="00BB2342">
        <w:rPr>
          <w:i/>
        </w:rPr>
        <w:t>obilityControlInfo</w:t>
      </w:r>
      <w:proofErr w:type="spellEnd"/>
      <w:r w:rsidR="005B2566">
        <w:t xml:space="preserve">. </w:t>
      </w:r>
      <w:r w:rsidR="00E73D71">
        <w:t xml:space="preserve">From the fact, that it is delivered to the UE along with a CHO execution condition the UE understands implicitly that </w:t>
      </w:r>
      <w:proofErr w:type="spellStart"/>
      <w:r w:rsidRPr="00BB2342">
        <w:rPr>
          <w:i/>
        </w:rPr>
        <w:t>m</w:t>
      </w:r>
      <w:r w:rsidR="00E73D71" w:rsidRPr="00BB2342">
        <w:rPr>
          <w:i/>
        </w:rPr>
        <w:t>obilityControlInfo</w:t>
      </w:r>
      <w:proofErr w:type="spellEnd"/>
      <w:r w:rsidR="00E73D71">
        <w:t xml:space="preserve"> does not relate to a legacy handover (which is executed immediately), but to a CHO. </w:t>
      </w:r>
      <w:r w:rsidR="00CF4B64">
        <w:t>Thus,</w:t>
      </w:r>
      <w:r w:rsidR="00E73D71">
        <w:t xml:space="preserve"> no further information is needed in the </w:t>
      </w:r>
      <w:proofErr w:type="spellStart"/>
      <w:r w:rsidRPr="00BB2342">
        <w:rPr>
          <w:i/>
        </w:rPr>
        <w:t>m</w:t>
      </w:r>
      <w:r w:rsidR="00E73D71" w:rsidRPr="00BB2342">
        <w:rPr>
          <w:i/>
        </w:rPr>
        <w:t>obilityControlInfo</w:t>
      </w:r>
      <w:proofErr w:type="spellEnd"/>
      <w:r w:rsidR="00E73D71">
        <w:t>.</w:t>
      </w:r>
    </w:p>
    <w:p w14:paraId="41D74FB5" w14:textId="72F5D02A" w:rsidR="00F024EE" w:rsidRDefault="00F024EE" w:rsidP="00F024EE">
      <w:pPr>
        <w:jc w:val="both"/>
        <w:rPr>
          <w:b/>
        </w:rPr>
      </w:pPr>
      <w:r>
        <w:rPr>
          <w:b/>
        </w:rPr>
        <w:t xml:space="preserve">Proposal </w:t>
      </w:r>
      <w:r w:rsidR="00681C1D">
        <w:rPr>
          <w:b/>
        </w:rPr>
        <w:t>5</w:t>
      </w:r>
      <w:r>
        <w:rPr>
          <w:b/>
        </w:rPr>
        <w:t xml:space="preserve">: </w:t>
      </w:r>
      <w:r w:rsidR="00E73D71">
        <w:rPr>
          <w:b/>
        </w:rPr>
        <w:t xml:space="preserve">The expression “CHO Command” refers to the legacy </w:t>
      </w:r>
      <w:proofErr w:type="spellStart"/>
      <w:r w:rsidR="00576B71" w:rsidRPr="00BB2342">
        <w:rPr>
          <w:b/>
          <w:i/>
        </w:rPr>
        <w:t>m</w:t>
      </w:r>
      <w:r w:rsidR="00E73D71" w:rsidRPr="00BB2342">
        <w:rPr>
          <w:b/>
          <w:i/>
        </w:rPr>
        <w:t>obilityControlInfo</w:t>
      </w:r>
      <w:proofErr w:type="spellEnd"/>
      <w:r w:rsidR="00E73D71">
        <w:rPr>
          <w:b/>
        </w:rPr>
        <w:t xml:space="preserve">, which is delivered along with the CHO execution condition in case of CHO. No extension of </w:t>
      </w:r>
      <w:proofErr w:type="spellStart"/>
      <w:r w:rsidR="00576B71" w:rsidRPr="00BB2342">
        <w:rPr>
          <w:b/>
          <w:i/>
        </w:rPr>
        <w:t>m</w:t>
      </w:r>
      <w:r w:rsidR="00E73D71" w:rsidRPr="00BB2342">
        <w:rPr>
          <w:b/>
          <w:i/>
        </w:rPr>
        <w:t>obilityControlInfo</w:t>
      </w:r>
      <w:proofErr w:type="spellEnd"/>
      <w:r w:rsidR="00E73D71">
        <w:rPr>
          <w:b/>
        </w:rPr>
        <w:t xml:space="preserve"> is needed.</w:t>
      </w:r>
    </w:p>
    <w:p w14:paraId="7C199955" w14:textId="4C4D9C7F" w:rsidR="00F024EE" w:rsidRDefault="00F024EE" w:rsidP="00F024EE">
      <w:pPr>
        <w:pStyle w:val="Heading2"/>
      </w:pPr>
      <w:r>
        <w:t>2.5</w:t>
      </w:r>
      <w:r>
        <w:tab/>
      </w:r>
      <w:r w:rsidR="00E46A1B">
        <w:t>Reception during CHO execution</w:t>
      </w:r>
    </w:p>
    <w:tbl>
      <w:tblPr>
        <w:tblStyle w:val="TableGrid"/>
        <w:tblW w:w="0" w:type="auto"/>
        <w:tblLook w:val="04A0" w:firstRow="1" w:lastRow="0" w:firstColumn="1" w:lastColumn="0" w:noHBand="0" w:noVBand="1"/>
      </w:tblPr>
      <w:tblGrid>
        <w:gridCol w:w="9631"/>
      </w:tblGrid>
      <w:tr w:rsidR="00E46A1B" w14:paraId="5B4549C5" w14:textId="77777777" w:rsidTr="00575889">
        <w:tc>
          <w:tcPr>
            <w:tcW w:w="9631" w:type="dxa"/>
          </w:tcPr>
          <w:p w14:paraId="685D3849" w14:textId="58798DAD" w:rsidR="00E46A1B" w:rsidRPr="003A1632" w:rsidRDefault="00E46A1B" w:rsidP="00E46A1B">
            <w:pPr>
              <w:rPr>
                <w:lang w:val="en-US"/>
              </w:rPr>
            </w:pPr>
            <w:r w:rsidRPr="00F024EE">
              <w:t xml:space="preserve">=&gt; FFS whether UE continues to receive source cell while executing CHO cmd. </w:t>
            </w:r>
          </w:p>
        </w:tc>
      </w:tr>
    </w:tbl>
    <w:p w14:paraId="7D1C5620" w14:textId="3D5A84E1" w:rsidR="00F024EE" w:rsidRDefault="00297797" w:rsidP="00F024EE">
      <w:pPr>
        <w:jc w:val="both"/>
      </w:pPr>
      <w:r>
        <w:br/>
      </w:r>
      <w:proofErr w:type="gramStart"/>
      <w:r w:rsidR="00E46A1B">
        <w:t>In order to</w:t>
      </w:r>
      <w:proofErr w:type="gramEnd"/>
      <w:r w:rsidR="00E46A1B">
        <w:t xml:space="preserve"> address this aspect, we have to review more carefully what happens after the condition expires. We assume, that </w:t>
      </w:r>
      <w:proofErr w:type="gramStart"/>
      <w:r w:rsidR="00E46A1B">
        <w:t>similar to</w:t>
      </w:r>
      <w:proofErr w:type="gramEnd"/>
      <w:r w:rsidR="00E46A1B">
        <w:t xml:space="preserve"> the legacy handover, the UE should try to access the target cell a</w:t>
      </w:r>
      <w:r w:rsidR="001C59D1">
        <w:t xml:space="preserve">s soon as possible, without any unnecessary delays. Hence, immediately after the condition expires, the UE will synchronize to the target cell. </w:t>
      </w:r>
      <w:r w:rsidR="00507D0B">
        <w:t>In</w:t>
      </w:r>
      <w:r w:rsidR="001C59D1">
        <w:t xml:space="preserve"> our understanding, a legacy UE under general conditions (asynchronous networks) is no longer able to receive and detect data from the source cell. </w:t>
      </w:r>
      <w:proofErr w:type="gramStart"/>
      <w:r w:rsidR="001C59D1">
        <w:t>As a consequence</w:t>
      </w:r>
      <w:proofErr w:type="gramEnd"/>
      <w:r w:rsidR="001C59D1">
        <w:t xml:space="preserve">, the baseline CHO performance should be that the UE does not continue to receive source cell after the condition </w:t>
      </w:r>
      <w:r w:rsidR="00E1349A">
        <w:t xml:space="preserve">has </w:t>
      </w:r>
      <w:r w:rsidR="001C59D1">
        <w:t>expire</w:t>
      </w:r>
      <w:r w:rsidR="00E1349A">
        <w:t>d</w:t>
      </w:r>
      <w:r w:rsidR="00507D0B">
        <w:t>/triggered the access</w:t>
      </w:r>
      <w:r w:rsidR="001C59D1">
        <w:t>.</w:t>
      </w:r>
    </w:p>
    <w:p w14:paraId="7999E6B5" w14:textId="404870FF" w:rsidR="001C59D1" w:rsidRDefault="001C59D1" w:rsidP="00F024EE">
      <w:pPr>
        <w:jc w:val="both"/>
      </w:pPr>
      <w:r>
        <w:t>However, depending on the outcome of the sister activity on “reduction in user data interruption”</w:t>
      </w:r>
      <w:r w:rsidR="00297797">
        <w:t xml:space="preserve"> (henceforth called RUDI)</w:t>
      </w:r>
      <w:r>
        <w:t xml:space="preserve">, we believe that it should be possible to combine the features. In other words, UEs which </w:t>
      </w:r>
      <w:r w:rsidR="00E1349A">
        <w:t>support RUDI, shall also to continue to receive the source cell after the condition has expired</w:t>
      </w:r>
      <w:r w:rsidR="00507D0B">
        <w:t xml:space="preserve"> (assuming RUDI will enable such behaviour)</w:t>
      </w:r>
      <w:r w:rsidR="00E1349A">
        <w:t>.</w:t>
      </w:r>
    </w:p>
    <w:p w14:paraId="4320FA64" w14:textId="5F7577CF" w:rsidR="00F024EE" w:rsidRDefault="00F024EE" w:rsidP="00F024EE">
      <w:pPr>
        <w:jc w:val="both"/>
        <w:rPr>
          <w:b/>
        </w:rPr>
      </w:pPr>
      <w:r>
        <w:rPr>
          <w:b/>
        </w:rPr>
        <w:t xml:space="preserve">Proposal </w:t>
      </w:r>
      <w:r w:rsidR="005145D5">
        <w:rPr>
          <w:b/>
        </w:rPr>
        <w:t>6</w:t>
      </w:r>
      <w:r>
        <w:rPr>
          <w:b/>
        </w:rPr>
        <w:t xml:space="preserve">: </w:t>
      </w:r>
      <w:r w:rsidR="00E1349A">
        <w:rPr>
          <w:b/>
        </w:rPr>
        <w:t xml:space="preserve">UEs which support RUDI shall continue to receive the source cell after the CHO condition has expired. Other UEs </w:t>
      </w:r>
      <w:r w:rsidR="00297797">
        <w:rPr>
          <w:b/>
        </w:rPr>
        <w:t>are not obliged to</w:t>
      </w:r>
      <w:r w:rsidR="00E1349A">
        <w:rPr>
          <w:b/>
        </w:rPr>
        <w:t xml:space="preserve"> continue.</w:t>
      </w:r>
    </w:p>
    <w:p w14:paraId="6332B667" w14:textId="751BE0EC" w:rsidR="00F024EE" w:rsidRDefault="00F024EE" w:rsidP="00F024EE">
      <w:pPr>
        <w:pStyle w:val="Heading2"/>
      </w:pPr>
      <w:r>
        <w:t>2.6</w:t>
      </w:r>
      <w:r>
        <w:tab/>
      </w:r>
      <w:r w:rsidR="00E1349A">
        <w:t>CHO removal during CHO execution</w:t>
      </w:r>
    </w:p>
    <w:tbl>
      <w:tblPr>
        <w:tblStyle w:val="TableGrid"/>
        <w:tblW w:w="0" w:type="auto"/>
        <w:tblLook w:val="04A0" w:firstRow="1" w:lastRow="0" w:firstColumn="1" w:lastColumn="0" w:noHBand="0" w:noVBand="1"/>
      </w:tblPr>
      <w:tblGrid>
        <w:gridCol w:w="9631"/>
      </w:tblGrid>
      <w:tr w:rsidR="00E1349A" w14:paraId="2F90D26D" w14:textId="77777777" w:rsidTr="00575889">
        <w:tc>
          <w:tcPr>
            <w:tcW w:w="9631" w:type="dxa"/>
          </w:tcPr>
          <w:p w14:paraId="2410B231" w14:textId="26AE0D5C" w:rsidR="00E1349A" w:rsidRPr="003A1632" w:rsidRDefault="00E1349A" w:rsidP="00575889">
            <w:pPr>
              <w:rPr>
                <w:lang w:val="en-US"/>
              </w:rPr>
            </w:pPr>
            <w:r w:rsidRPr="00F024EE">
              <w:t xml:space="preserve">=&gt; FFS what UE does if NW removes CHO </w:t>
            </w:r>
            <w:proofErr w:type="spellStart"/>
            <w:r w:rsidRPr="00F024EE">
              <w:t>cmd</w:t>
            </w:r>
            <w:proofErr w:type="spellEnd"/>
            <w:r w:rsidRPr="00F024EE">
              <w:t xml:space="preserve"> while executing the same CHO cmd. </w:t>
            </w:r>
          </w:p>
        </w:tc>
      </w:tr>
    </w:tbl>
    <w:p w14:paraId="10215904" w14:textId="6E57F47E" w:rsidR="00E1349A" w:rsidRDefault="00297797" w:rsidP="00E1349A">
      <w:r>
        <w:br/>
      </w:r>
      <w:r w:rsidR="00E1349A">
        <w:t>This situation can only occur in combination with RUDI,</w:t>
      </w:r>
      <w:r>
        <w:t xml:space="preserve"> if Proposal 6 is adopted,</w:t>
      </w:r>
      <w:r w:rsidR="00E1349A">
        <w:t xml:space="preserve"> since otherwise the UE would no longer </w:t>
      </w:r>
      <w:r w:rsidR="00CF38D6">
        <w:t xml:space="preserve">be able to </w:t>
      </w:r>
      <w:r w:rsidR="00E1349A">
        <w:t>receive the removal of the CHO command</w:t>
      </w:r>
      <w:r w:rsidR="00CF38D6">
        <w:t>, sent from the source</w:t>
      </w:r>
      <w:r w:rsidR="00E1349A">
        <w:t xml:space="preserve">. </w:t>
      </w:r>
      <w:r w:rsidR="005145D5">
        <w:t xml:space="preserve">Even if RUDI is used, such a </w:t>
      </w:r>
      <w:r w:rsidR="005145D5" w:rsidRPr="005145D5">
        <w:t>simultaneousness</w:t>
      </w:r>
      <w:r w:rsidR="005145D5">
        <w:t xml:space="preserve"> should be very rare, so this aspect may not be a very important one</w:t>
      </w:r>
      <w:r w:rsidR="00CF38D6">
        <w:t xml:space="preserve"> to be addressed</w:t>
      </w:r>
      <w:r w:rsidR="005145D5">
        <w:t>. Nevertheless, clarification is needed. T</w:t>
      </w:r>
      <w:r w:rsidR="00E1349A">
        <w:t>he main question is</w:t>
      </w:r>
      <w:r w:rsidR="00CF38D6">
        <w:t>:</w:t>
      </w:r>
    </w:p>
    <w:p w14:paraId="51D0668E" w14:textId="0C44F76D" w:rsidR="00E1349A" w:rsidRDefault="00E1349A" w:rsidP="00E1349A">
      <w:pPr>
        <w:pStyle w:val="ListParagraph"/>
        <w:numPr>
          <w:ilvl w:val="0"/>
          <w:numId w:val="13"/>
        </w:numPr>
      </w:pPr>
      <w:r>
        <w:t>whether the network would never remove any resources reserved for CHO, before it receives an acknowledgment (i.e. RRC connection reconfiguration complete) from the UE</w:t>
      </w:r>
    </w:p>
    <w:p w14:paraId="35CB1161" w14:textId="290028CD" w:rsidR="00E1349A" w:rsidRDefault="00E1349A" w:rsidP="00E1349A">
      <w:pPr>
        <w:pStyle w:val="ListParagraph"/>
        <w:numPr>
          <w:ilvl w:val="0"/>
          <w:numId w:val="13"/>
        </w:numPr>
      </w:pPr>
      <w:r>
        <w:lastRenderedPageBreak/>
        <w:t xml:space="preserve">or whether there are </w:t>
      </w:r>
      <w:r w:rsidR="001E7306">
        <w:t>emergency cases where the network may have already removed resources when sending the RRC connection reconfiguration to the UE.</w:t>
      </w:r>
    </w:p>
    <w:p w14:paraId="062A0EA0" w14:textId="056EFC3F" w:rsidR="001E7306" w:rsidRPr="006E13D1" w:rsidRDefault="001E7306" w:rsidP="001E7306">
      <w:r>
        <w:t xml:space="preserve">If the latter </w:t>
      </w:r>
      <w:r w:rsidR="00E30765">
        <w:t>interpretation</w:t>
      </w:r>
      <w:r>
        <w:t xml:space="preserve"> </w:t>
      </w:r>
      <w:r w:rsidR="00E30765">
        <w:t>is</w:t>
      </w:r>
      <w:r>
        <w:t xml:space="preserve"> not </w:t>
      </w:r>
      <w:r w:rsidR="00E30765">
        <w:t xml:space="preserve">a </w:t>
      </w:r>
      <w:r>
        <w:t xml:space="preserve">negligible corner case, it might be better that the UE stops the CHO execution since the target may have released resources. On the other hand, not executing the handover is likely to </w:t>
      </w:r>
      <w:r w:rsidR="0012690D">
        <w:t>lead to</w:t>
      </w:r>
      <w:r>
        <w:t xml:space="preserve"> failures (triggering of the CHO condition clearly indicates that there is a stronger cell than the serving). So even if there might be some risk that the network ha</w:t>
      </w:r>
      <w:r w:rsidR="0012690D">
        <w:t>s</w:t>
      </w:r>
      <w:r>
        <w:t xml:space="preserve"> removed the resources, we still believe that the UE shall complete the execution of a CHO, even if it receives a cancellation meanwhile.</w:t>
      </w:r>
    </w:p>
    <w:p w14:paraId="326A80DE" w14:textId="774A5FC4" w:rsidR="003A1632" w:rsidRDefault="00F024EE" w:rsidP="00BB2342">
      <w:pPr>
        <w:jc w:val="both"/>
      </w:pPr>
      <w:r>
        <w:rPr>
          <w:b/>
        </w:rPr>
        <w:t xml:space="preserve">Proposal </w:t>
      </w:r>
      <w:r w:rsidR="005145D5">
        <w:rPr>
          <w:b/>
        </w:rPr>
        <w:t>7</w:t>
      </w:r>
      <w:r>
        <w:rPr>
          <w:b/>
        </w:rPr>
        <w:t xml:space="preserve">: </w:t>
      </w:r>
      <w:r w:rsidR="001E7306">
        <w:rPr>
          <w:b/>
        </w:rPr>
        <w:t xml:space="preserve">The </w:t>
      </w:r>
      <w:r w:rsidR="005145D5">
        <w:rPr>
          <w:b/>
        </w:rPr>
        <w:t xml:space="preserve">UE </w:t>
      </w:r>
      <w:r w:rsidR="001E7306">
        <w:rPr>
          <w:b/>
        </w:rPr>
        <w:t>shall complete the execution of a CHO, even if it receives an RRC connection reconfiguration removing the CHO for the same target</w:t>
      </w:r>
      <w:r w:rsidR="0012690D">
        <w:rPr>
          <w:b/>
        </w:rPr>
        <w:t>,</w:t>
      </w:r>
      <w:r w:rsidR="008A35C7">
        <w:rPr>
          <w:b/>
        </w:rPr>
        <w:t xml:space="preserve"> after the corresponding CHO execution has expired</w:t>
      </w:r>
      <w:r w:rsidR="001E7306">
        <w:rPr>
          <w:b/>
        </w:rPr>
        <w:t>.</w:t>
      </w:r>
    </w:p>
    <w:p w14:paraId="42E2D461" w14:textId="4C9FED62" w:rsidR="00BE6423" w:rsidRDefault="00BE6423" w:rsidP="00BE6423">
      <w:pPr>
        <w:pStyle w:val="Heading2"/>
      </w:pPr>
      <w:r>
        <w:t>2.7</w:t>
      </w:r>
      <w:r>
        <w:tab/>
      </w:r>
      <w:r w:rsidR="00FA21BB">
        <w:t>Improved handling of T310 and T304</w:t>
      </w:r>
    </w:p>
    <w:tbl>
      <w:tblPr>
        <w:tblStyle w:val="TableGrid"/>
        <w:tblW w:w="0" w:type="auto"/>
        <w:tblLook w:val="04A0" w:firstRow="1" w:lastRow="0" w:firstColumn="1" w:lastColumn="0" w:noHBand="0" w:noVBand="1"/>
      </w:tblPr>
      <w:tblGrid>
        <w:gridCol w:w="9631"/>
      </w:tblGrid>
      <w:tr w:rsidR="00BE6423" w14:paraId="28E457E0" w14:textId="77777777" w:rsidTr="00575889">
        <w:tc>
          <w:tcPr>
            <w:tcW w:w="9631" w:type="dxa"/>
          </w:tcPr>
          <w:p w14:paraId="12FA56E5" w14:textId="7BB082BC" w:rsidR="00BE6423" w:rsidRPr="003A1632" w:rsidRDefault="00BE6423" w:rsidP="00575889">
            <w:pPr>
              <w:rPr>
                <w:lang w:val="en-US"/>
              </w:rPr>
            </w:pPr>
            <w:r w:rsidRPr="00F024EE">
              <w:t xml:space="preserve">=&gt; FFS </w:t>
            </w:r>
            <w:r w:rsidR="00FA21BB" w:rsidRPr="00FA21BB">
              <w:t>whether UE stores CHO commands in failure cases</w:t>
            </w:r>
          </w:p>
        </w:tc>
      </w:tr>
    </w:tbl>
    <w:p w14:paraId="30FE3DDC" w14:textId="469C821D" w:rsidR="00920B80" w:rsidRDefault="00647514" w:rsidP="00FA21BB">
      <w:pPr>
        <w:jc w:val="both"/>
      </w:pPr>
      <w:r>
        <w:br/>
      </w:r>
      <w:r w:rsidR="00FA21BB">
        <w:t xml:space="preserve">With CHO, it may happen that T310 expires </w:t>
      </w:r>
      <w:r w:rsidR="00920B80">
        <w:t xml:space="preserve">(or is started) </w:t>
      </w:r>
      <w:r w:rsidR="00FA21BB">
        <w:t xml:space="preserve">although the UE has been properly configured for target candidate cells. This happens when the </w:t>
      </w:r>
      <w:r w:rsidR="005C2A51">
        <w:t xml:space="preserve">CHO </w:t>
      </w:r>
      <w:r w:rsidR="00FA21BB">
        <w:t xml:space="preserve">execution condition is configured late. Allowing T310 to be started, or even declaring an RLF </w:t>
      </w:r>
      <w:r w:rsidR="00920B80">
        <w:t xml:space="preserve">after T310 expiry </w:t>
      </w:r>
      <w:r w:rsidR="00FA21BB">
        <w:t xml:space="preserve">seems suboptimal in the presence of a configured target cell or cells. </w:t>
      </w:r>
      <w:r w:rsidR="00920B80">
        <w:t>RLF would lead to re-establishment using CBRA in a selected cell, whereas a prepared cell with reserved resources (</w:t>
      </w:r>
      <w:r>
        <w:t xml:space="preserve">possibly </w:t>
      </w:r>
      <w:r w:rsidR="00920B80">
        <w:t>CFRA and radio resource</w:t>
      </w:r>
      <w:r w:rsidR="005C2A51">
        <w:t>s</w:t>
      </w:r>
      <w:r w:rsidR="00920B80">
        <w:t xml:space="preserve">) is awaiting. </w:t>
      </w:r>
      <w:r w:rsidR="005C2A51">
        <w:t>S</w:t>
      </w:r>
      <w:r w:rsidR="00920B80">
        <w:t xml:space="preserve">tarting T310 </w:t>
      </w:r>
      <w:r w:rsidR="005C2A51">
        <w:t xml:space="preserve">may </w:t>
      </w:r>
      <w:r w:rsidR="00920B80">
        <w:t xml:space="preserve">already unnecessarily lead to </w:t>
      </w:r>
      <w:r>
        <w:t xml:space="preserve">an </w:t>
      </w:r>
      <w:r w:rsidR="00920B80">
        <w:t>outage, although a prepared cell is awaiting.</w:t>
      </w:r>
    </w:p>
    <w:p w14:paraId="519F1E7B" w14:textId="773B20B6" w:rsidR="00ED3A28" w:rsidRDefault="00ED3A28" w:rsidP="00FA21BB">
      <w:pPr>
        <w:jc w:val="both"/>
      </w:pPr>
      <w:r w:rsidRPr="00014F9B">
        <w:rPr>
          <w:b/>
        </w:rPr>
        <w:t xml:space="preserve">Observation </w:t>
      </w:r>
      <w:r w:rsidR="00A47B17" w:rsidRPr="00014F9B">
        <w:rPr>
          <w:b/>
        </w:rPr>
        <w:t xml:space="preserve">2: </w:t>
      </w:r>
      <w:r w:rsidR="00E94F12" w:rsidRPr="00014F9B">
        <w:rPr>
          <w:b/>
        </w:rPr>
        <w:t xml:space="preserve">In the presence of prepared CHO </w:t>
      </w:r>
      <w:r w:rsidR="00647514">
        <w:rPr>
          <w:b/>
        </w:rPr>
        <w:t xml:space="preserve">candidate </w:t>
      </w:r>
      <w:r w:rsidR="00E94F12" w:rsidRPr="00014F9B">
        <w:rPr>
          <w:b/>
        </w:rPr>
        <w:t xml:space="preserve">targets with decent signal quality, T310 may lead to unnecessary outage or unnecessary RLF, CHO execution can be initiated instead. </w:t>
      </w:r>
    </w:p>
    <w:p w14:paraId="43D7430E" w14:textId="6DBD817D" w:rsidR="00920B80" w:rsidRDefault="00046697" w:rsidP="00920B80">
      <w:pPr>
        <w:jc w:val="both"/>
      </w:pPr>
      <w:r>
        <w:t>Similarly, i</w:t>
      </w:r>
      <w:r w:rsidR="00920B80">
        <w:t>f, during the execution phase of the CHO (i.e. during random access to a target for which the CHO condition has expired), a RACH problem is encountered, and there are further candidate target cells which have been prepared, it might be better to initiate the execution with another target even though the corresponding condition has not expired</w:t>
      </w:r>
      <w:r w:rsidR="00ED3A28">
        <w:t xml:space="preserve"> yet</w:t>
      </w:r>
      <w:r w:rsidR="00920B80">
        <w:t xml:space="preserve">, rather than to keep on trying the problematic RACH until T304 expiry. Even if T304 expires, it could be better to initiate CHO execution to other prepared target cells (if </w:t>
      </w:r>
      <w:r w:rsidR="00BE0782">
        <w:t xml:space="preserve">those </w:t>
      </w:r>
      <w:r w:rsidR="00920B80">
        <w:t>exist) instead of initiating RRC connection re-establishment.</w:t>
      </w:r>
    </w:p>
    <w:p w14:paraId="6F258342" w14:textId="3262CFFE" w:rsidR="00ED3A28" w:rsidRDefault="00ED3A28" w:rsidP="00ED3A28">
      <w:pPr>
        <w:jc w:val="both"/>
      </w:pPr>
      <w:r w:rsidRPr="00014F9B">
        <w:rPr>
          <w:b/>
        </w:rPr>
        <w:t>Observation</w:t>
      </w:r>
      <w:r w:rsidR="002D6B03" w:rsidRPr="00014F9B">
        <w:rPr>
          <w:b/>
        </w:rPr>
        <w:t xml:space="preserve"> 3: </w:t>
      </w:r>
      <w:r w:rsidR="00C45F93" w:rsidRPr="00014F9B">
        <w:rPr>
          <w:b/>
        </w:rPr>
        <w:t xml:space="preserve">In the presence of prepared CHO targets with decent signal quality, T304 may lead to unnecessary outage or unnecessary </w:t>
      </w:r>
      <w:proofErr w:type="spellStart"/>
      <w:r w:rsidR="00C45F93" w:rsidRPr="00014F9B">
        <w:rPr>
          <w:b/>
        </w:rPr>
        <w:t>HoF</w:t>
      </w:r>
      <w:proofErr w:type="spellEnd"/>
      <w:r w:rsidR="00C45F93" w:rsidRPr="00014F9B">
        <w:rPr>
          <w:b/>
        </w:rPr>
        <w:t>, CHO execution can be initiated instead.</w:t>
      </w:r>
      <w:r>
        <w:t xml:space="preserve"> </w:t>
      </w:r>
    </w:p>
    <w:p w14:paraId="5A6FB620" w14:textId="5B12D8AB" w:rsidR="00920B80" w:rsidRDefault="00920B80" w:rsidP="00FA21BB">
      <w:pPr>
        <w:jc w:val="both"/>
      </w:pPr>
      <w:r>
        <w:t>In order not to change too much the specifications, we propose to introduce circumstances under which the UE access</w:t>
      </w:r>
      <w:r w:rsidR="00046697">
        <w:t>es</w:t>
      </w:r>
      <w:r>
        <w:t xml:space="preserve"> a prepared target even though the condition has not expired, e.g.</w:t>
      </w:r>
    </w:p>
    <w:p w14:paraId="113B9740" w14:textId="523AD57D" w:rsidR="00920B80" w:rsidRDefault="00920B80" w:rsidP="00920B80">
      <w:pPr>
        <w:pStyle w:val="ListParagraph"/>
        <w:numPr>
          <w:ilvl w:val="0"/>
          <w:numId w:val="14"/>
        </w:numPr>
        <w:jc w:val="both"/>
      </w:pPr>
      <w:r>
        <w:t xml:space="preserve">T310 expires, and a prepared </w:t>
      </w:r>
      <w:r w:rsidR="00ED3A28">
        <w:t xml:space="preserve">candidate </w:t>
      </w:r>
      <w:r>
        <w:t>target fulfils the cell selection criterion</w:t>
      </w:r>
    </w:p>
    <w:p w14:paraId="63D755EB" w14:textId="7E9ED634" w:rsidR="00046697" w:rsidRDefault="00046697" w:rsidP="00920B80">
      <w:pPr>
        <w:pStyle w:val="ListParagraph"/>
        <w:numPr>
          <w:ilvl w:val="0"/>
          <w:numId w:val="14"/>
        </w:numPr>
        <w:jc w:val="both"/>
      </w:pPr>
      <w:r>
        <w:t xml:space="preserve">T304 expires, and another prepared </w:t>
      </w:r>
      <w:r w:rsidR="00ED3A28">
        <w:t xml:space="preserve">candidate </w:t>
      </w:r>
      <w:r>
        <w:t>target fulfils the cell selection criterion</w:t>
      </w:r>
    </w:p>
    <w:p w14:paraId="3FAF84F8" w14:textId="41653C0A" w:rsidR="00046697" w:rsidRDefault="00046697" w:rsidP="00046697">
      <w:pPr>
        <w:jc w:val="both"/>
      </w:pPr>
      <w:r>
        <w:t xml:space="preserve">In these cases, a failure should not be declared, but CHO execution shall be initiated. Otherwise, a failure will be declared, </w:t>
      </w:r>
      <w:r w:rsidR="00ED3A28">
        <w:t>if</w:t>
      </w:r>
      <w:r>
        <w:t xml:space="preserve"> we keep today’s behavio</w:t>
      </w:r>
      <w:r w:rsidR="00BE0782">
        <w:t>u</w:t>
      </w:r>
      <w:r>
        <w:t xml:space="preserve">r and delete all CHO commands. We believe that it is much more natural, that a failure leads to a complete reset </w:t>
      </w:r>
      <w:r w:rsidR="00B80CF7">
        <w:t xml:space="preserve">(via RRC re-establishment) </w:t>
      </w:r>
      <w:r>
        <w:t>as today. In contrast, declaring a failure seems unnatural in th</w:t>
      </w:r>
      <w:r w:rsidR="00FE4614">
        <w:t>e</w:t>
      </w:r>
      <w:r>
        <w:t xml:space="preserve"> presence of other prepared CHO candidates.</w:t>
      </w:r>
    </w:p>
    <w:p w14:paraId="3376C8C5" w14:textId="63BD252C" w:rsidR="00046697" w:rsidRDefault="00046697" w:rsidP="00046697">
      <w:pPr>
        <w:jc w:val="both"/>
      </w:pPr>
      <w:r>
        <w:t>In addition, further circumstance</w:t>
      </w:r>
      <w:r w:rsidR="00ED3A28">
        <w:t>s</w:t>
      </w:r>
      <w:r>
        <w:t xml:space="preserve"> under which UE</w:t>
      </w:r>
      <w:r w:rsidR="009D564E">
        <w:t xml:space="preserve"> may</w:t>
      </w:r>
      <w:r>
        <w:t xml:space="preserve"> access a prepared target even though the condition has not expired</w:t>
      </w:r>
      <w:r w:rsidR="009D564E">
        <w:t>, can be considered</w:t>
      </w:r>
      <w:r>
        <w:t>:</w:t>
      </w:r>
    </w:p>
    <w:p w14:paraId="38E611E0" w14:textId="52544185" w:rsidR="00046697" w:rsidRDefault="00046697" w:rsidP="00046697">
      <w:pPr>
        <w:pStyle w:val="ListParagraph"/>
        <w:numPr>
          <w:ilvl w:val="0"/>
          <w:numId w:val="14"/>
        </w:numPr>
        <w:jc w:val="both"/>
      </w:pPr>
      <w:r>
        <w:t>T310 is started, and a prepared target fulfils the cell selection criterion</w:t>
      </w:r>
    </w:p>
    <w:p w14:paraId="6D489750" w14:textId="4714E2A7" w:rsidR="00046697" w:rsidRDefault="00046697" w:rsidP="00046697">
      <w:pPr>
        <w:pStyle w:val="ListParagraph"/>
        <w:numPr>
          <w:ilvl w:val="0"/>
          <w:numId w:val="14"/>
        </w:numPr>
        <w:jc w:val="both"/>
      </w:pPr>
      <w:r>
        <w:t>Problems with RACH during CHO execution (or legacy HO), and another prepared target fulfils the cell selection criterion</w:t>
      </w:r>
    </w:p>
    <w:p w14:paraId="0556508D" w14:textId="568A2A50" w:rsidR="00BE6423" w:rsidRDefault="00BE6423" w:rsidP="00BE6423">
      <w:pPr>
        <w:jc w:val="both"/>
        <w:rPr>
          <w:b/>
        </w:rPr>
      </w:pPr>
      <w:r>
        <w:rPr>
          <w:b/>
        </w:rPr>
        <w:t xml:space="preserve">Proposal 8: </w:t>
      </w:r>
      <w:r w:rsidR="00046697">
        <w:rPr>
          <w:b/>
        </w:rPr>
        <w:t>CHO commands shall be deleted in failure cases. However, failures shall not be declared when prepared CHO targets fulfil the cell selection criterion.</w:t>
      </w:r>
    </w:p>
    <w:p w14:paraId="26587559" w14:textId="3A141F82" w:rsidR="003A1632" w:rsidRDefault="00046697" w:rsidP="00440C23">
      <w:pPr>
        <w:jc w:val="both"/>
        <w:rPr>
          <w:b/>
        </w:rPr>
      </w:pPr>
      <w:r>
        <w:rPr>
          <w:b/>
        </w:rPr>
        <w:t xml:space="preserve">Proposal 9: </w:t>
      </w:r>
      <w:r w:rsidR="00440C23">
        <w:rPr>
          <w:b/>
        </w:rPr>
        <w:t xml:space="preserve">RAN2 shall discuss circumstances which will trigger CHO execution even though the condition has not expired, e.g. T304/T310 </w:t>
      </w:r>
      <w:r w:rsidR="00131CDF">
        <w:rPr>
          <w:b/>
        </w:rPr>
        <w:t xml:space="preserve">started </w:t>
      </w:r>
      <w:r w:rsidR="00440C23">
        <w:rPr>
          <w:b/>
        </w:rPr>
        <w:t>and a prepared neighbour fulfils the cell selection criterion.</w:t>
      </w:r>
    </w:p>
    <w:p w14:paraId="3109918C" w14:textId="77777777" w:rsidR="001E2AFF" w:rsidRPr="00440C23" w:rsidRDefault="001E2AFF" w:rsidP="00440C23">
      <w:pPr>
        <w:jc w:val="both"/>
        <w:rPr>
          <w:b/>
        </w:rPr>
      </w:pPr>
    </w:p>
    <w:p w14:paraId="32634820" w14:textId="0FAF3E28" w:rsidR="00BE6423" w:rsidRDefault="00BE6423" w:rsidP="00BE6423">
      <w:pPr>
        <w:pStyle w:val="Heading2"/>
      </w:pPr>
      <w:r>
        <w:lastRenderedPageBreak/>
        <w:t>2.8</w:t>
      </w:r>
      <w:r>
        <w:tab/>
      </w:r>
      <w:r w:rsidR="00FA5F83">
        <w:t>Other means to release the CHO configurations</w:t>
      </w:r>
    </w:p>
    <w:tbl>
      <w:tblPr>
        <w:tblStyle w:val="TableGrid"/>
        <w:tblW w:w="0" w:type="auto"/>
        <w:tblLook w:val="04A0" w:firstRow="1" w:lastRow="0" w:firstColumn="1" w:lastColumn="0" w:noHBand="0" w:noVBand="1"/>
      </w:tblPr>
      <w:tblGrid>
        <w:gridCol w:w="9631"/>
      </w:tblGrid>
      <w:tr w:rsidR="00BE6423" w14:paraId="22D94323" w14:textId="77777777" w:rsidTr="00575889">
        <w:tc>
          <w:tcPr>
            <w:tcW w:w="9631" w:type="dxa"/>
          </w:tcPr>
          <w:p w14:paraId="25D2CB98" w14:textId="71CB9F13" w:rsidR="00BE6423" w:rsidRPr="003A1632" w:rsidRDefault="00BE6423" w:rsidP="00575889">
            <w:pPr>
              <w:rPr>
                <w:lang w:val="en-US"/>
              </w:rPr>
            </w:pPr>
            <w:r w:rsidRPr="00F024EE">
              <w:t xml:space="preserve">=&gt; FFS </w:t>
            </w:r>
            <w:r w:rsidR="00440C23" w:rsidRPr="00F024EE">
              <w:t>whether CHO candidates can be released via other means.</w:t>
            </w:r>
          </w:p>
        </w:tc>
      </w:tr>
    </w:tbl>
    <w:p w14:paraId="03F1630B" w14:textId="3432A9C5" w:rsidR="00BE6423" w:rsidRDefault="00BE2806" w:rsidP="00BE6423">
      <w:r>
        <w:br/>
        <w:t xml:space="preserve">We understand this FFS is noted mainly due to the possibility to use the validity timer for releasing the CHO configurations. </w:t>
      </w:r>
      <w:r w:rsidR="00E625A6" w:rsidRPr="00E625A6">
        <w:t>Timer-based solutions</w:t>
      </w:r>
      <w:r w:rsidR="00E625A6">
        <w:t xml:space="preserve"> </w:t>
      </w:r>
      <w:r w:rsidR="00E625A6" w:rsidRPr="00E625A6">
        <w:t xml:space="preserve">may be inaccurate as those seem to neglect the actual measured signal levels, which shall be the primary indicator whether </w:t>
      </w:r>
      <w:proofErr w:type="gramStart"/>
      <w:r w:rsidR="00E625A6" w:rsidRPr="00E625A6">
        <w:t>particular cell</w:t>
      </w:r>
      <w:proofErr w:type="gramEnd"/>
      <w:r w:rsidR="00E625A6" w:rsidRPr="00E625A6">
        <w:t xml:space="preserve"> is still a valid candidate for </w:t>
      </w:r>
      <w:r w:rsidR="00E625A6">
        <w:t>C</w:t>
      </w:r>
      <w:r w:rsidR="00E625A6" w:rsidRPr="00E625A6">
        <w:t>HO and there is point to keep the target cell “prepared”. Using a timer-based solution would also necessitate occasional “refreshing” of the CHO configuration (e.g. when UE does not move but is still at the cell edge, the timer would expire</w:t>
      </w:r>
      <w:r w:rsidR="00E625A6">
        <w:t xml:space="preserve"> shortly</w:t>
      </w:r>
      <w:r w:rsidR="00E625A6" w:rsidRPr="00E625A6">
        <w:t>), which would result in extra signalling towards the UE or extra procedures to handle cases when the timer should be restarted</w:t>
      </w:r>
      <w:r w:rsidR="00E625A6">
        <w:t xml:space="preserve">. </w:t>
      </w:r>
      <w:proofErr w:type="gramStart"/>
      <w:r w:rsidR="00E625A6">
        <w:t>As a result of</w:t>
      </w:r>
      <w:proofErr w:type="gramEnd"/>
      <w:r w:rsidR="00E625A6">
        <w:t xml:space="preserve"> the </w:t>
      </w:r>
      <w:r w:rsidR="00423E31">
        <w:t>aforementioned reasoning, we believe validity timer is not necessary to releaser the CHO configurations.</w:t>
      </w:r>
    </w:p>
    <w:p w14:paraId="5519FACC" w14:textId="60B77BE2" w:rsidR="0041610C" w:rsidRDefault="00BE6423" w:rsidP="00BE6423">
      <w:pPr>
        <w:jc w:val="both"/>
        <w:rPr>
          <w:b/>
        </w:rPr>
      </w:pPr>
      <w:r>
        <w:rPr>
          <w:b/>
        </w:rPr>
        <w:t xml:space="preserve">Proposal </w:t>
      </w:r>
      <w:r w:rsidR="00681C1D">
        <w:rPr>
          <w:b/>
        </w:rPr>
        <w:t>10</w:t>
      </w:r>
      <w:r>
        <w:rPr>
          <w:b/>
        </w:rPr>
        <w:t xml:space="preserve">: </w:t>
      </w:r>
      <w:r w:rsidR="00423E31">
        <w:rPr>
          <w:b/>
        </w:rPr>
        <w:t>Validity timer for</w:t>
      </w:r>
      <w:r w:rsidR="001060AF">
        <w:rPr>
          <w:b/>
        </w:rPr>
        <w:t xml:space="preserve"> UE automatically</w:t>
      </w:r>
      <w:r w:rsidR="00423E31">
        <w:rPr>
          <w:b/>
        </w:rPr>
        <w:t xml:space="preserve"> releasing CHO configurations is not supported for Rel-16 E-UTRAN CHO.</w:t>
      </w:r>
    </w:p>
    <w:p w14:paraId="316C96E4" w14:textId="5743F8FE" w:rsidR="008841B7" w:rsidRDefault="008841B7" w:rsidP="008841B7">
      <w:pPr>
        <w:pStyle w:val="Heading1"/>
      </w:pPr>
      <w:r>
        <w:t xml:space="preserve">3 </w:t>
      </w:r>
      <w:r>
        <w:tab/>
        <w:t>Conclusions</w:t>
      </w:r>
    </w:p>
    <w:p w14:paraId="62E327A7" w14:textId="7F8A7CD1" w:rsidR="008841B7" w:rsidRDefault="00334D66" w:rsidP="008841B7">
      <w:r>
        <w:t>This paper discussed the FFSs listed explicitly for LTE Conditional HO. The following observations and proposals have been made:</w:t>
      </w:r>
    </w:p>
    <w:p w14:paraId="31542EE3" w14:textId="77777777" w:rsidR="00E24D62" w:rsidRPr="00BB2342" w:rsidRDefault="00E24D62" w:rsidP="00E24D62">
      <w:pPr>
        <w:jc w:val="both"/>
        <w:rPr>
          <w:b/>
        </w:rPr>
      </w:pPr>
      <w:r w:rsidRPr="00E24D62">
        <w:rPr>
          <w:b/>
        </w:rPr>
        <w:t>Proposal 0:</w:t>
      </w:r>
      <w:r w:rsidRPr="00BB2342">
        <w:rPr>
          <w:b/>
        </w:rPr>
        <w:t xml:space="preserve"> Conditional handover (CHO) is introduced in LTE to solve robustness/reliability issue. </w:t>
      </w:r>
    </w:p>
    <w:p w14:paraId="16D764FB" w14:textId="77777777" w:rsidR="0041610C" w:rsidRDefault="0041610C" w:rsidP="0041610C">
      <w:pPr>
        <w:jc w:val="both"/>
        <w:rPr>
          <w:b/>
        </w:rPr>
      </w:pPr>
      <w:r>
        <w:rPr>
          <w:b/>
        </w:rPr>
        <w:t xml:space="preserve">Proposal 1: The source cell adds the condition to the RRC connection reconfiguration carrying the HO Command (i.e. reconfiguration with </w:t>
      </w:r>
      <w:proofErr w:type="spellStart"/>
      <w:r w:rsidRPr="00314087">
        <w:rPr>
          <w:b/>
          <w:i/>
        </w:rPr>
        <w:t>mobilityControlInfo</w:t>
      </w:r>
      <w:proofErr w:type="spellEnd"/>
      <w:r>
        <w:rPr>
          <w:b/>
        </w:rPr>
        <w:t>).</w:t>
      </w:r>
    </w:p>
    <w:p w14:paraId="3B1634A4" w14:textId="0C3AD656" w:rsidR="0041610C" w:rsidRDefault="0041610C" w:rsidP="0041610C">
      <w:pPr>
        <w:jc w:val="both"/>
        <w:rPr>
          <w:b/>
        </w:rPr>
      </w:pPr>
      <w:r>
        <w:rPr>
          <w:b/>
        </w:rPr>
        <w:t>Observation 1: Aggregation of multiple CHO commands into the same RRC reconfiguration message will bring negligible benefits, but would create unnecessary standardization effort and complexity.</w:t>
      </w:r>
    </w:p>
    <w:p w14:paraId="5DEE42BB" w14:textId="483D46DB" w:rsidR="0041610C" w:rsidRDefault="0041610C" w:rsidP="0041610C">
      <w:pPr>
        <w:jc w:val="both"/>
        <w:rPr>
          <w:b/>
        </w:rPr>
      </w:pPr>
      <w:r>
        <w:rPr>
          <w:b/>
        </w:rPr>
        <w:t xml:space="preserve">Proposal 2: </w:t>
      </w:r>
      <w:r w:rsidRPr="004A1247">
        <w:rPr>
          <w:b/>
        </w:rPr>
        <w:t xml:space="preserve">Individual CHO commands </w:t>
      </w:r>
      <w:r w:rsidR="00021C8E">
        <w:rPr>
          <w:b/>
        </w:rPr>
        <w:t xml:space="preserve">are sent separately, i.e. </w:t>
      </w:r>
      <w:r w:rsidRPr="004A1247">
        <w:rPr>
          <w:b/>
        </w:rPr>
        <w:t xml:space="preserve">are not merged into a single RRC Reconfiguration message at the source </w:t>
      </w:r>
      <w:proofErr w:type="spellStart"/>
      <w:r w:rsidRPr="004A1247">
        <w:rPr>
          <w:b/>
        </w:rPr>
        <w:t>eNB</w:t>
      </w:r>
      <w:proofErr w:type="spellEnd"/>
      <w:r w:rsidRPr="001A02F2">
        <w:rPr>
          <w:b/>
        </w:rPr>
        <w:t>.</w:t>
      </w:r>
    </w:p>
    <w:p w14:paraId="6A36AF79" w14:textId="71D42070" w:rsidR="0041610C" w:rsidRDefault="0041610C" w:rsidP="0041610C">
      <w:pPr>
        <w:jc w:val="both"/>
        <w:rPr>
          <w:b/>
        </w:rPr>
      </w:pPr>
      <w:r>
        <w:rPr>
          <w:b/>
        </w:rPr>
        <w:t xml:space="preserve">Proposal 3: The format of the CHO execution condition can use large parts of the </w:t>
      </w:r>
      <w:proofErr w:type="spellStart"/>
      <w:r>
        <w:rPr>
          <w:b/>
        </w:rPr>
        <w:t>Ax</w:t>
      </w:r>
      <w:proofErr w:type="spellEnd"/>
      <w:r w:rsidR="00D215EB">
        <w:rPr>
          <w:b/>
        </w:rPr>
        <w:t xml:space="preserve">-event ASN.1 structure, but is not </w:t>
      </w:r>
      <w:proofErr w:type="spellStart"/>
      <w:r w:rsidR="00D215EB">
        <w:rPr>
          <w:b/>
        </w:rPr>
        <w:t>configured</w:t>
      </w:r>
      <w:r>
        <w:rPr>
          <w:b/>
        </w:rPr>
        <w:t>as</w:t>
      </w:r>
      <w:proofErr w:type="spellEnd"/>
      <w:r>
        <w:rPr>
          <w:b/>
        </w:rPr>
        <w:t xml:space="preserve"> a measurement reporting event.</w:t>
      </w:r>
    </w:p>
    <w:p w14:paraId="3CE68FD9" w14:textId="71ED6391" w:rsidR="0041610C" w:rsidRDefault="0041610C" w:rsidP="0041610C">
      <w:pPr>
        <w:jc w:val="both"/>
        <w:rPr>
          <w:b/>
        </w:rPr>
      </w:pPr>
      <w:r>
        <w:rPr>
          <w:b/>
        </w:rPr>
        <w:t xml:space="preserve">Proposal 4: A3-like CHO execution condition shall be specified. An A5-like CHO condition shall only be specified if inter-frequency CHO </w:t>
      </w:r>
      <w:proofErr w:type="gramStart"/>
      <w:r>
        <w:rPr>
          <w:b/>
        </w:rPr>
        <w:t>is considered to be</w:t>
      </w:r>
      <w:proofErr w:type="gramEnd"/>
      <w:r>
        <w:rPr>
          <w:b/>
        </w:rPr>
        <w:t xml:space="preserve"> relevant. Further conditions based on other than A3 and A5 principles shall not be </w:t>
      </w:r>
      <w:r w:rsidR="007F0280">
        <w:rPr>
          <w:b/>
        </w:rPr>
        <w:t xml:space="preserve">further considered </w:t>
      </w:r>
      <w:r>
        <w:rPr>
          <w:b/>
        </w:rPr>
        <w:t>in LTE Release-16.</w:t>
      </w:r>
    </w:p>
    <w:p w14:paraId="5DA7A42B" w14:textId="77777777" w:rsidR="0041610C" w:rsidRDefault="0041610C" w:rsidP="0041610C">
      <w:pPr>
        <w:jc w:val="both"/>
        <w:rPr>
          <w:b/>
        </w:rPr>
      </w:pPr>
      <w:r>
        <w:rPr>
          <w:b/>
        </w:rPr>
        <w:t xml:space="preserve">Proposal 5: The expression “CHO Command” refers to the legacy </w:t>
      </w:r>
      <w:proofErr w:type="spellStart"/>
      <w:r w:rsidRPr="004A1247">
        <w:rPr>
          <w:b/>
          <w:i/>
        </w:rPr>
        <w:t>mobilityControlInfo</w:t>
      </w:r>
      <w:proofErr w:type="spellEnd"/>
      <w:r>
        <w:rPr>
          <w:b/>
        </w:rPr>
        <w:t xml:space="preserve">, which is delivered along with the CHO execution condition in case of CHO. No extension of </w:t>
      </w:r>
      <w:proofErr w:type="spellStart"/>
      <w:r w:rsidRPr="004A1247">
        <w:rPr>
          <w:b/>
          <w:i/>
        </w:rPr>
        <w:t>mobilityControlInfo</w:t>
      </w:r>
      <w:proofErr w:type="spellEnd"/>
      <w:r>
        <w:rPr>
          <w:b/>
        </w:rPr>
        <w:t xml:space="preserve"> is needed.</w:t>
      </w:r>
    </w:p>
    <w:p w14:paraId="5EF90DD2" w14:textId="77777777" w:rsidR="0041610C" w:rsidRDefault="0041610C" w:rsidP="0041610C">
      <w:pPr>
        <w:jc w:val="both"/>
        <w:rPr>
          <w:b/>
        </w:rPr>
      </w:pPr>
      <w:r>
        <w:rPr>
          <w:b/>
        </w:rPr>
        <w:t>Proposal 6: UEs which support RUDI shall continue to receive the source cell after the CHO condition has expired. Other UEs are not obliged to continue.</w:t>
      </w:r>
    </w:p>
    <w:p w14:paraId="5323B8DD" w14:textId="77777777" w:rsidR="0041610C" w:rsidRDefault="0041610C" w:rsidP="008841B7">
      <w:pPr>
        <w:rPr>
          <w:b/>
        </w:rPr>
      </w:pPr>
      <w:r>
        <w:rPr>
          <w:b/>
        </w:rPr>
        <w:t>Proposal 7: The UE shall complete the execution of a CHO, even if it receives an RRC connection reconfiguration removing the CHO for the same target, after the corresponding CHO execution has expired.</w:t>
      </w:r>
      <w:r w:rsidRPr="0041610C">
        <w:rPr>
          <w:b/>
        </w:rPr>
        <w:t xml:space="preserve"> </w:t>
      </w:r>
    </w:p>
    <w:p w14:paraId="7EE35C54" w14:textId="2A01F997" w:rsidR="00334D66" w:rsidRDefault="0041610C" w:rsidP="008841B7">
      <w:pPr>
        <w:rPr>
          <w:b/>
        </w:rPr>
      </w:pPr>
      <w:r w:rsidRPr="00014F9B">
        <w:rPr>
          <w:b/>
        </w:rPr>
        <w:t xml:space="preserve">Observation 2: In the presence of prepared CHO </w:t>
      </w:r>
      <w:r>
        <w:rPr>
          <w:b/>
        </w:rPr>
        <w:t xml:space="preserve">candidate </w:t>
      </w:r>
      <w:r w:rsidRPr="00014F9B">
        <w:rPr>
          <w:b/>
        </w:rPr>
        <w:t>targets with decent signal quality, T310 may lead to unnecessary outage or unnecessary RLF, CHO execution can be initiated instead.</w:t>
      </w:r>
    </w:p>
    <w:p w14:paraId="7237D4F4" w14:textId="77777777" w:rsidR="0041610C" w:rsidRDefault="0041610C" w:rsidP="0041610C">
      <w:pPr>
        <w:jc w:val="both"/>
      </w:pPr>
      <w:r w:rsidRPr="00014F9B">
        <w:rPr>
          <w:b/>
        </w:rPr>
        <w:t xml:space="preserve">Observation 3: In the presence of prepared CHO targets with decent signal quality, T304 may lead to unnecessary outage or unnecessary </w:t>
      </w:r>
      <w:proofErr w:type="spellStart"/>
      <w:r w:rsidRPr="00014F9B">
        <w:rPr>
          <w:b/>
        </w:rPr>
        <w:t>HoF</w:t>
      </w:r>
      <w:proofErr w:type="spellEnd"/>
      <w:r w:rsidRPr="00014F9B">
        <w:rPr>
          <w:b/>
        </w:rPr>
        <w:t>, CHO execution can be initiated instead.</w:t>
      </w:r>
      <w:r>
        <w:t xml:space="preserve"> </w:t>
      </w:r>
    </w:p>
    <w:p w14:paraId="58F5B287" w14:textId="77777777" w:rsidR="0041610C" w:rsidRDefault="0041610C" w:rsidP="0041610C">
      <w:pPr>
        <w:jc w:val="both"/>
        <w:rPr>
          <w:b/>
        </w:rPr>
      </w:pPr>
      <w:r>
        <w:rPr>
          <w:b/>
        </w:rPr>
        <w:t>Proposal 8: CHO commands shall be deleted in failure cases. However, failures shall not be declared when prepared CHO targets fulfil the cell selection criterion.</w:t>
      </w:r>
    </w:p>
    <w:p w14:paraId="64CED3EF" w14:textId="77777777" w:rsidR="0041610C" w:rsidRPr="00440C23" w:rsidRDefault="0041610C" w:rsidP="0041610C">
      <w:pPr>
        <w:jc w:val="both"/>
        <w:rPr>
          <w:b/>
        </w:rPr>
      </w:pPr>
      <w:r>
        <w:rPr>
          <w:b/>
        </w:rPr>
        <w:t>Proposal 9: RAN2 shall discuss circumstances which will trigger CHO execution even though the condition has not expired, e.g. T304/T310 started and a prepared neighbour fulfils the cell selection criterion.</w:t>
      </w:r>
    </w:p>
    <w:p w14:paraId="28D0ED99" w14:textId="34B9ED56" w:rsidR="0041610C" w:rsidRPr="00BB2342" w:rsidRDefault="0041610C">
      <w:pPr>
        <w:jc w:val="both"/>
        <w:rPr>
          <w:b/>
        </w:rPr>
      </w:pPr>
      <w:r>
        <w:rPr>
          <w:b/>
        </w:rPr>
        <w:t xml:space="preserve">Proposal 10: Validity timer for </w:t>
      </w:r>
      <w:r w:rsidR="001060AF">
        <w:rPr>
          <w:b/>
        </w:rPr>
        <w:t xml:space="preserve">UE automatically </w:t>
      </w:r>
      <w:r>
        <w:rPr>
          <w:b/>
        </w:rPr>
        <w:t>releasing CHO configurations is not supported for Rel-16 E-UTRAN CHO.</w:t>
      </w:r>
    </w:p>
    <w:p w14:paraId="71A14A6B" w14:textId="4171351A" w:rsidR="00EC2EAE" w:rsidRDefault="00EC2EAE" w:rsidP="00EC2EAE">
      <w:pPr>
        <w:pStyle w:val="Heading1"/>
      </w:pPr>
      <w:r>
        <w:lastRenderedPageBreak/>
        <w:t>References</w:t>
      </w:r>
    </w:p>
    <w:p w14:paraId="1F5EAB6D" w14:textId="27A543BC" w:rsidR="00EC2EAE" w:rsidRDefault="009711E1" w:rsidP="009711E1">
      <w:pPr>
        <w:pStyle w:val="ListParagraph"/>
        <w:numPr>
          <w:ilvl w:val="0"/>
          <w:numId w:val="20"/>
        </w:numPr>
        <w:jc w:val="both"/>
        <w:rPr>
          <w:lang w:eastAsia="ko-KR"/>
        </w:rPr>
      </w:pPr>
      <w:r>
        <w:rPr>
          <w:lang w:eastAsia="ko-KR"/>
        </w:rPr>
        <w:t xml:space="preserve">R2-1905188 </w:t>
      </w:r>
      <w:r w:rsidRPr="00BB2342">
        <w:rPr>
          <w:i/>
          <w:lang w:eastAsia="ko-KR"/>
        </w:rPr>
        <w:t>Report from session on Rel-16 LTE Mobility Enhancements WI</w:t>
      </w:r>
      <w:r>
        <w:rPr>
          <w:lang w:eastAsia="ko-KR"/>
        </w:rPr>
        <w:t xml:space="preserve"> 3GPP TSG-RAN WG2 Meeting #105bis Xian, China, 8th – 12th April 2019</w:t>
      </w:r>
    </w:p>
    <w:p w14:paraId="0A24411E" w14:textId="77777777" w:rsidR="009711E1" w:rsidRPr="00BB2342" w:rsidRDefault="009711E1" w:rsidP="00BB2342">
      <w:pPr>
        <w:pStyle w:val="ListParagraph"/>
        <w:jc w:val="both"/>
        <w:rPr>
          <w:lang w:eastAsia="ko-KR"/>
        </w:rPr>
      </w:pPr>
      <w:bookmarkStart w:id="0" w:name="_GoBack"/>
      <w:bookmarkEnd w:id="0"/>
    </w:p>
    <w:sectPr w:rsidR="009711E1" w:rsidRPr="00BB23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B000D" w14:textId="77777777" w:rsidR="004553B9" w:rsidRDefault="004553B9">
      <w:r>
        <w:separator/>
      </w:r>
    </w:p>
  </w:endnote>
  <w:endnote w:type="continuationSeparator" w:id="0">
    <w:p w14:paraId="46A00AFC" w14:textId="77777777" w:rsidR="004553B9" w:rsidRDefault="004553B9">
      <w:r>
        <w:continuationSeparator/>
      </w:r>
    </w:p>
  </w:endnote>
  <w:endnote w:type="continuationNotice" w:id="1">
    <w:p w14:paraId="0E18D2E4" w14:textId="77777777" w:rsidR="00697C44" w:rsidRDefault="00697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BC7F2" w14:textId="77777777" w:rsidR="004553B9" w:rsidRDefault="004553B9">
      <w:r>
        <w:separator/>
      </w:r>
    </w:p>
  </w:footnote>
  <w:footnote w:type="continuationSeparator" w:id="0">
    <w:p w14:paraId="698E7C87" w14:textId="77777777" w:rsidR="004553B9" w:rsidRDefault="004553B9">
      <w:r>
        <w:continuationSeparator/>
      </w:r>
    </w:p>
  </w:footnote>
  <w:footnote w:type="continuationNotice" w:id="1">
    <w:p w14:paraId="730203A4" w14:textId="77777777" w:rsidR="00697C44" w:rsidRDefault="00697C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93A3E"/>
    <w:multiLevelType w:val="hybridMultilevel"/>
    <w:tmpl w:val="F868760C"/>
    <w:lvl w:ilvl="0" w:tplc="A4D86D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00798"/>
    <w:multiLevelType w:val="hybridMultilevel"/>
    <w:tmpl w:val="FBCC4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D6D46"/>
    <w:multiLevelType w:val="hybridMultilevel"/>
    <w:tmpl w:val="DBD296BE"/>
    <w:lvl w:ilvl="0" w:tplc="9CC8459E">
      <w:start w:val="1"/>
      <w:numFmt w:val="bullet"/>
      <w:lvlText w:val=""/>
      <w:lvlJc w:val="left"/>
      <w:pPr>
        <w:tabs>
          <w:tab w:val="num" w:pos="720"/>
        </w:tabs>
        <w:ind w:left="720" w:hanging="360"/>
      </w:pPr>
      <w:rPr>
        <w:rFonts w:ascii="Symbol" w:hAnsi="Symbol" w:hint="default"/>
      </w:rPr>
    </w:lvl>
    <w:lvl w:ilvl="1" w:tplc="0A48CF0C" w:tentative="1">
      <w:start w:val="1"/>
      <w:numFmt w:val="bullet"/>
      <w:lvlText w:val=""/>
      <w:lvlJc w:val="left"/>
      <w:pPr>
        <w:tabs>
          <w:tab w:val="num" w:pos="1440"/>
        </w:tabs>
        <w:ind w:left="1440" w:hanging="360"/>
      </w:pPr>
      <w:rPr>
        <w:rFonts w:ascii="Symbol" w:hAnsi="Symbol" w:hint="default"/>
      </w:rPr>
    </w:lvl>
    <w:lvl w:ilvl="2" w:tplc="97AE55F6" w:tentative="1">
      <w:start w:val="1"/>
      <w:numFmt w:val="bullet"/>
      <w:lvlText w:val=""/>
      <w:lvlJc w:val="left"/>
      <w:pPr>
        <w:tabs>
          <w:tab w:val="num" w:pos="2160"/>
        </w:tabs>
        <w:ind w:left="2160" w:hanging="360"/>
      </w:pPr>
      <w:rPr>
        <w:rFonts w:ascii="Symbol" w:hAnsi="Symbol" w:hint="default"/>
      </w:rPr>
    </w:lvl>
    <w:lvl w:ilvl="3" w:tplc="3086EF74" w:tentative="1">
      <w:start w:val="1"/>
      <w:numFmt w:val="bullet"/>
      <w:lvlText w:val=""/>
      <w:lvlJc w:val="left"/>
      <w:pPr>
        <w:tabs>
          <w:tab w:val="num" w:pos="2880"/>
        </w:tabs>
        <w:ind w:left="2880" w:hanging="360"/>
      </w:pPr>
      <w:rPr>
        <w:rFonts w:ascii="Symbol" w:hAnsi="Symbol" w:hint="default"/>
      </w:rPr>
    </w:lvl>
    <w:lvl w:ilvl="4" w:tplc="B44425B0" w:tentative="1">
      <w:start w:val="1"/>
      <w:numFmt w:val="bullet"/>
      <w:lvlText w:val=""/>
      <w:lvlJc w:val="left"/>
      <w:pPr>
        <w:tabs>
          <w:tab w:val="num" w:pos="3600"/>
        </w:tabs>
        <w:ind w:left="3600" w:hanging="360"/>
      </w:pPr>
      <w:rPr>
        <w:rFonts w:ascii="Symbol" w:hAnsi="Symbol" w:hint="default"/>
      </w:rPr>
    </w:lvl>
    <w:lvl w:ilvl="5" w:tplc="3C026EE0" w:tentative="1">
      <w:start w:val="1"/>
      <w:numFmt w:val="bullet"/>
      <w:lvlText w:val=""/>
      <w:lvlJc w:val="left"/>
      <w:pPr>
        <w:tabs>
          <w:tab w:val="num" w:pos="4320"/>
        </w:tabs>
        <w:ind w:left="4320" w:hanging="360"/>
      </w:pPr>
      <w:rPr>
        <w:rFonts w:ascii="Symbol" w:hAnsi="Symbol" w:hint="default"/>
      </w:rPr>
    </w:lvl>
    <w:lvl w:ilvl="6" w:tplc="F8708A24" w:tentative="1">
      <w:start w:val="1"/>
      <w:numFmt w:val="bullet"/>
      <w:lvlText w:val=""/>
      <w:lvlJc w:val="left"/>
      <w:pPr>
        <w:tabs>
          <w:tab w:val="num" w:pos="5040"/>
        </w:tabs>
        <w:ind w:left="5040" w:hanging="360"/>
      </w:pPr>
      <w:rPr>
        <w:rFonts w:ascii="Symbol" w:hAnsi="Symbol" w:hint="default"/>
      </w:rPr>
    </w:lvl>
    <w:lvl w:ilvl="7" w:tplc="FB06DD1C" w:tentative="1">
      <w:start w:val="1"/>
      <w:numFmt w:val="bullet"/>
      <w:lvlText w:val=""/>
      <w:lvlJc w:val="left"/>
      <w:pPr>
        <w:tabs>
          <w:tab w:val="num" w:pos="5760"/>
        </w:tabs>
        <w:ind w:left="5760" w:hanging="360"/>
      </w:pPr>
      <w:rPr>
        <w:rFonts w:ascii="Symbol" w:hAnsi="Symbol" w:hint="default"/>
      </w:rPr>
    </w:lvl>
    <w:lvl w:ilvl="8" w:tplc="3F74D08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4B7129"/>
    <w:multiLevelType w:val="hybridMultilevel"/>
    <w:tmpl w:val="87289C20"/>
    <w:lvl w:ilvl="0" w:tplc="671054D2">
      <w:start w:val="2"/>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258E0317"/>
    <w:multiLevelType w:val="hybridMultilevel"/>
    <w:tmpl w:val="7DC8D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257167"/>
    <w:multiLevelType w:val="hybridMultilevel"/>
    <w:tmpl w:val="82D21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AD2FDB"/>
    <w:multiLevelType w:val="hybridMultilevel"/>
    <w:tmpl w:val="8A48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5C0018"/>
    <w:multiLevelType w:val="hybridMultilevel"/>
    <w:tmpl w:val="9FDA0C6A"/>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D3C1000"/>
    <w:multiLevelType w:val="hybridMultilevel"/>
    <w:tmpl w:val="4AFAC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E06013"/>
    <w:multiLevelType w:val="hybridMultilevel"/>
    <w:tmpl w:val="8A486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0E61EB"/>
    <w:multiLevelType w:val="hybridMultilevel"/>
    <w:tmpl w:val="D804D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102714"/>
    <w:multiLevelType w:val="hybridMultilevel"/>
    <w:tmpl w:val="9AE83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5F17F4"/>
    <w:multiLevelType w:val="hybridMultilevel"/>
    <w:tmpl w:val="3C168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2"/>
  </w:num>
  <w:num w:numId="7">
    <w:abstractNumId w:val="13"/>
  </w:num>
  <w:num w:numId="8">
    <w:abstractNumId w:val="2"/>
  </w:num>
  <w:num w:numId="9">
    <w:abstractNumId w:val="3"/>
  </w:num>
  <w:num w:numId="10">
    <w:abstractNumId w:val="15"/>
  </w:num>
  <w:num w:numId="11">
    <w:abstractNumId w:val="10"/>
  </w:num>
  <w:num w:numId="12">
    <w:abstractNumId w:val="4"/>
  </w:num>
  <w:num w:numId="13">
    <w:abstractNumId w:val="18"/>
  </w:num>
  <w:num w:numId="14">
    <w:abstractNumId w:val="9"/>
  </w:num>
  <w:num w:numId="15">
    <w:abstractNumId w:val="17"/>
  </w:num>
  <w:num w:numId="16">
    <w:abstractNumId w:val="16"/>
  </w:num>
  <w:num w:numId="17">
    <w:abstractNumId w:val="14"/>
  </w:num>
  <w:num w:numId="18">
    <w:abstractNumId w:val="6"/>
  </w:num>
  <w:num w:numId="19">
    <w:abstractNumId w:val="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F9B"/>
    <w:rsid w:val="00021C8E"/>
    <w:rsid w:val="00032FE3"/>
    <w:rsid w:val="00033397"/>
    <w:rsid w:val="00035EE2"/>
    <w:rsid w:val="00040095"/>
    <w:rsid w:val="00046697"/>
    <w:rsid w:val="000549FF"/>
    <w:rsid w:val="00067103"/>
    <w:rsid w:val="00073C9C"/>
    <w:rsid w:val="00080512"/>
    <w:rsid w:val="00090468"/>
    <w:rsid w:val="00094568"/>
    <w:rsid w:val="000B505A"/>
    <w:rsid w:val="000B7BCF"/>
    <w:rsid w:val="000C522B"/>
    <w:rsid w:val="000D58AB"/>
    <w:rsid w:val="000E4A20"/>
    <w:rsid w:val="001060AF"/>
    <w:rsid w:val="00112F1A"/>
    <w:rsid w:val="0012690D"/>
    <w:rsid w:val="00131CDF"/>
    <w:rsid w:val="00137D82"/>
    <w:rsid w:val="00145075"/>
    <w:rsid w:val="00172F81"/>
    <w:rsid w:val="001741A0"/>
    <w:rsid w:val="00175FA0"/>
    <w:rsid w:val="00180250"/>
    <w:rsid w:val="00194CD0"/>
    <w:rsid w:val="001A02F2"/>
    <w:rsid w:val="001B175C"/>
    <w:rsid w:val="001B49C9"/>
    <w:rsid w:val="001C1C99"/>
    <w:rsid w:val="001C4F79"/>
    <w:rsid w:val="001C59D1"/>
    <w:rsid w:val="001E2AFF"/>
    <w:rsid w:val="001E7306"/>
    <w:rsid w:val="001F10D4"/>
    <w:rsid w:val="001F168B"/>
    <w:rsid w:val="001F7831"/>
    <w:rsid w:val="00204045"/>
    <w:rsid w:val="0020712B"/>
    <w:rsid w:val="00207CA3"/>
    <w:rsid w:val="0022606D"/>
    <w:rsid w:val="00231728"/>
    <w:rsid w:val="00233D62"/>
    <w:rsid w:val="00253AF0"/>
    <w:rsid w:val="002610D8"/>
    <w:rsid w:val="002747EC"/>
    <w:rsid w:val="00283381"/>
    <w:rsid w:val="002855BF"/>
    <w:rsid w:val="00297797"/>
    <w:rsid w:val="002D5702"/>
    <w:rsid w:val="002D6B03"/>
    <w:rsid w:val="002F0D22"/>
    <w:rsid w:val="0030695A"/>
    <w:rsid w:val="003143D8"/>
    <w:rsid w:val="0031585D"/>
    <w:rsid w:val="003172DC"/>
    <w:rsid w:val="00320F2D"/>
    <w:rsid w:val="00325AE3"/>
    <w:rsid w:val="00326069"/>
    <w:rsid w:val="00334D66"/>
    <w:rsid w:val="003418AD"/>
    <w:rsid w:val="0035462D"/>
    <w:rsid w:val="00364B41"/>
    <w:rsid w:val="00371C3B"/>
    <w:rsid w:val="003721E0"/>
    <w:rsid w:val="00383096"/>
    <w:rsid w:val="0038631B"/>
    <w:rsid w:val="003A0122"/>
    <w:rsid w:val="003A1632"/>
    <w:rsid w:val="003A41EF"/>
    <w:rsid w:val="003A700A"/>
    <w:rsid w:val="003B40AD"/>
    <w:rsid w:val="003C3B89"/>
    <w:rsid w:val="003C4E37"/>
    <w:rsid w:val="003E16BE"/>
    <w:rsid w:val="003F4E28"/>
    <w:rsid w:val="004006E8"/>
    <w:rsid w:val="00401855"/>
    <w:rsid w:val="0041610C"/>
    <w:rsid w:val="004208E9"/>
    <w:rsid w:val="00423E31"/>
    <w:rsid w:val="00431893"/>
    <w:rsid w:val="00440C23"/>
    <w:rsid w:val="00443146"/>
    <w:rsid w:val="004551E8"/>
    <w:rsid w:val="004553B9"/>
    <w:rsid w:val="00465587"/>
    <w:rsid w:val="0046628F"/>
    <w:rsid w:val="00472E93"/>
    <w:rsid w:val="00477455"/>
    <w:rsid w:val="004A1F7B"/>
    <w:rsid w:val="004C1AF0"/>
    <w:rsid w:val="004C44D2"/>
    <w:rsid w:val="004D1A23"/>
    <w:rsid w:val="004D3578"/>
    <w:rsid w:val="004D380D"/>
    <w:rsid w:val="004D693F"/>
    <w:rsid w:val="004E213A"/>
    <w:rsid w:val="004F48C5"/>
    <w:rsid w:val="00503171"/>
    <w:rsid w:val="00506C28"/>
    <w:rsid w:val="00507628"/>
    <w:rsid w:val="00507D0B"/>
    <w:rsid w:val="00513308"/>
    <w:rsid w:val="005145D5"/>
    <w:rsid w:val="00534DA0"/>
    <w:rsid w:val="00543E6C"/>
    <w:rsid w:val="00550185"/>
    <w:rsid w:val="00565087"/>
    <w:rsid w:val="0056573F"/>
    <w:rsid w:val="00576B71"/>
    <w:rsid w:val="005B2566"/>
    <w:rsid w:val="005C2A51"/>
    <w:rsid w:val="005C7A3C"/>
    <w:rsid w:val="005D1DD6"/>
    <w:rsid w:val="005E0412"/>
    <w:rsid w:val="0060020E"/>
    <w:rsid w:val="00611566"/>
    <w:rsid w:val="006340FB"/>
    <w:rsid w:val="0064295D"/>
    <w:rsid w:val="00646D99"/>
    <w:rsid w:val="00647514"/>
    <w:rsid w:val="00656910"/>
    <w:rsid w:val="00677B7B"/>
    <w:rsid w:val="00681C1D"/>
    <w:rsid w:val="00697C44"/>
    <w:rsid w:val="006C66D8"/>
    <w:rsid w:val="006D0946"/>
    <w:rsid w:val="006D1E24"/>
    <w:rsid w:val="006D4FD8"/>
    <w:rsid w:val="006E1417"/>
    <w:rsid w:val="006F6A2C"/>
    <w:rsid w:val="00710201"/>
    <w:rsid w:val="0072073A"/>
    <w:rsid w:val="007258AF"/>
    <w:rsid w:val="0073269A"/>
    <w:rsid w:val="007342B5"/>
    <w:rsid w:val="00734A5B"/>
    <w:rsid w:val="00744E76"/>
    <w:rsid w:val="00757D40"/>
    <w:rsid w:val="00781F0F"/>
    <w:rsid w:val="0078727C"/>
    <w:rsid w:val="0079049D"/>
    <w:rsid w:val="00793DC5"/>
    <w:rsid w:val="00794609"/>
    <w:rsid w:val="007B18D8"/>
    <w:rsid w:val="007C095F"/>
    <w:rsid w:val="007C2DD0"/>
    <w:rsid w:val="007C62BB"/>
    <w:rsid w:val="007F0280"/>
    <w:rsid w:val="008028A4"/>
    <w:rsid w:val="00813245"/>
    <w:rsid w:val="00827114"/>
    <w:rsid w:val="00864E5A"/>
    <w:rsid w:val="008768CA"/>
    <w:rsid w:val="00877EF9"/>
    <w:rsid w:val="00880559"/>
    <w:rsid w:val="008841B7"/>
    <w:rsid w:val="008A35C7"/>
    <w:rsid w:val="008B5306"/>
    <w:rsid w:val="008C57ED"/>
    <w:rsid w:val="008D2E4D"/>
    <w:rsid w:val="008F396F"/>
    <w:rsid w:val="0090271F"/>
    <w:rsid w:val="00902DB9"/>
    <w:rsid w:val="0090466A"/>
    <w:rsid w:val="00920B80"/>
    <w:rsid w:val="00936071"/>
    <w:rsid w:val="00940212"/>
    <w:rsid w:val="00942EC2"/>
    <w:rsid w:val="00961B32"/>
    <w:rsid w:val="00962509"/>
    <w:rsid w:val="00970DB3"/>
    <w:rsid w:val="009711E1"/>
    <w:rsid w:val="00974BB0"/>
    <w:rsid w:val="009A0AF3"/>
    <w:rsid w:val="009A0BB0"/>
    <w:rsid w:val="009B07CD"/>
    <w:rsid w:val="009C19E9"/>
    <w:rsid w:val="009D0E80"/>
    <w:rsid w:val="009D1B99"/>
    <w:rsid w:val="009D564E"/>
    <w:rsid w:val="009D74A6"/>
    <w:rsid w:val="00A066AC"/>
    <w:rsid w:val="00A10F02"/>
    <w:rsid w:val="00A126C6"/>
    <w:rsid w:val="00A204CA"/>
    <w:rsid w:val="00A209D6"/>
    <w:rsid w:val="00A44CE3"/>
    <w:rsid w:val="00A47B17"/>
    <w:rsid w:val="00A53724"/>
    <w:rsid w:val="00A54B2B"/>
    <w:rsid w:val="00A82346"/>
    <w:rsid w:val="00A9671C"/>
    <w:rsid w:val="00AA1553"/>
    <w:rsid w:val="00AB54D8"/>
    <w:rsid w:val="00AE6C7A"/>
    <w:rsid w:val="00B05380"/>
    <w:rsid w:val="00B05962"/>
    <w:rsid w:val="00B15449"/>
    <w:rsid w:val="00B16C2F"/>
    <w:rsid w:val="00B27303"/>
    <w:rsid w:val="00B47FD1"/>
    <w:rsid w:val="00B516BB"/>
    <w:rsid w:val="00B800E3"/>
    <w:rsid w:val="00B80CF7"/>
    <w:rsid w:val="00B84DB2"/>
    <w:rsid w:val="00BA33C9"/>
    <w:rsid w:val="00BB2342"/>
    <w:rsid w:val="00BB589C"/>
    <w:rsid w:val="00BC03D1"/>
    <w:rsid w:val="00BC3555"/>
    <w:rsid w:val="00BE0782"/>
    <w:rsid w:val="00BE19AE"/>
    <w:rsid w:val="00BE2806"/>
    <w:rsid w:val="00BE6423"/>
    <w:rsid w:val="00C12B51"/>
    <w:rsid w:val="00C12F83"/>
    <w:rsid w:val="00C24650"/>
    <w:rsid w:val="00C25465"/>
    <w:rsid w:val="00C33079"/>
    <w:rsid w:val="00C35BB3"/>
    <w:rsid w:val="00C45F93"/>
    <w:rsid w:val="00C703EB"/>
    <w:rsid w:val="00C83A13"/>
    <w:rsid w:val="00C849C2"/>
    <w:rsid w:val="00C9068C"/>
    <w:rsid w:val="00C92967"/>
    <w:rsid w:val="00CA0342"/>
    <w:rsid w:val="00CA3D0C"/>
    <w:rsid w:val="00CA654B"/>
    <w:rsid w:val="00CB72B8"/>
    <w:rsid w:val="00CD4C7B"/>
    <w:rsid w:val="00CD5B67"/>
    <w:rsid w:val="00CE2E1B"/>
    <w:rsid w:val="00CF38D6"/>
    <w:rsid w:val="00CF4B64"/>
    <w:rsid w:val="00D00318"/>
    <w:rsid w:val="00D058D7"/>
    <w:rsid w:val="00D215EB"/>
    <w:rsid w:val="00D33BE3"/>
    <w:rsid w:val="00D34039"/>
    <w:rsid w:val="00D3792D"/>
    <w:rsid w:val="00D55E47"/>
    <w:rsid w:val="00D62E19"/>
    <w:rsid w:val="00D64BBF"/>
    <w:rsid w:val="00D65625"/>
    <w:rsid w:val="00D67CD1"/>
    <w:rsid w:val="00D738D6"/>
    <w:rsid w:val="00D80795"/>
    <w:rsid w:val="00D80ECA"/>
    <w:rsid w:val="00D840EC"/>
    <w:rsid w:val="00D854BE"/>
    <w:rsid w:val="00D87E00"/>
    <w:rsid w:val="00D9134D"/>
    <w:rsid w:val="00D96D11"/>
    <w:rsid w:val="00D976A0"/>
    <w:rsid w:val="00DA7A03"/>
    <w:rsid w:val="00DB0DB8"/>
    <w:rsid w:val="00DB1818"/>
    <w:rsid w:val="00DC309B"/>
    <w:rsid w:val="00DC4DA2"/>
    <w:rsid w:val="00DD7F7A"/>
    <w:rsid w:val="00DF4245"/>
    <w:rsid w:val="00E11B5A"/>
    <w:rsid w:val="00E1349A"/>
    <w:rsid w:val="00E24D62"/>
    <w:rsid w:val="00E30765"/>
    <w:rsid w:val="00E46A1B"/>
    <w:rsid w:val="00E46C08"/>
    <w:rsid w:val="00E471CF"/>
    <w:rsid w:val="00E625A6"/>
    <w:rsid w:val="00E62835"/>
    <w:rsid w:val="00E73D71"/>
    <w:rsid w:val="00E77645"/>
    <w:rsid w:val="00E83697"/>
    <w:rsid w:val="00E94F12"/>
    <w:rsid w:val="00EA66C9"/>
    <w:rsid w:val="00EC2EAE"/>
    <w:rsid w:val="00EC4A25"/>
    <w:rsid w:val="00ED0D0E"/>
    <w:rsid w:val="00ED3A28"/>
    <w:rsid w:val="00EF0E67"/>
    <w:rsid w:val="00EF3AE2"/>
    <w:rsid w:val="00F024EE"/>
    <w:rsid w:val="00F025A2"/>
    <w:rsid w:val="00F07388"/>
    <w:rsid w:val="00F2026E"/>
    <w:rsid w:val="00F2210A"/>
    <w:rsid w:val="00F37743"/>
    <w:rsid w:val="00F50D90"/>
    <w:rsid w:val="00F54A3D"/>
    <w:rsid w:val="00F54CB0"/>
    <w:rsid w:val="00F653B8"/>
    <w:rsid w:val="00F71B89"/>
    <w:rsid w:val="00F7353C"/>
    <w:rsid w:val="00F76F8F"/>
    <w:rsid w:val="00F941DF"/>
    <w:rsid w:val="00FA1266"/>
    <w:rsid w:val="00FA21BB"/>
    <w:rsid w:val="00FA5F83"/>
    <w:rsid w:val="00FB36FA"/>
    <w:rsid w:val="00FC1192"/>
    <w:rsid w:val="00FE251B"/>
    <w:rsid w:val="00FE4614"/>
    <w:rsid w:val="00FF4B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3A1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632"/>
    <w:pPr>
      <w:ind w:left="720"/>
      <w:contextualSpacing/>
    </w:pPr>
  </w:style>
  <w:style w:type="character" w:customStyle="1" w:styleId="Heading2Char">
    <w:name w:val="Heading 2 Char"/>
    <w:basedOn w:val="DefaultParagraphFont"/>
    <w:link w:val="Heading2"/>
    <w:rsid w:val="003A1632"/>
    <w:rPr>
      <w:rFonts w:ascii="Arial" w:hAnsi="Arial"/>
      <w:sz w:val="32"/>
      <w:lang w:eastAsia="en-US"/>
    </w:rPr>
  </w:style>
  <w:style w:type="character" w:styleId="CommentReference">
    <w:name w:val="annotation reference"/>
    <w:basedOn w:val="DefaultParagraphFont"/>
    <w:rsid w:val="002D5702"/>
    <w:rPr>
      <w:sz w:val="16"/>
      <w:szCs w:val="16"/>
    </w:rPr>
  </w:style>
  <w:style w:type="paragraph" w:styleId="CommentText">
    <w:name w:val="annotation text"/>
    <w:basedOn w:val="Normal"/>
    <w:link w:val="CommentTextChar"/>
    <w:rsid w:val="002D5702"/>
  </w:style>
  <w:style w:type="character" w:customStyle="1" w:styleId="CommentTextChar">
    <w:name w:val="Comment Text Char"/>
    <w:basedOn w:val="DefaultParagraphFont"/>
    <w:link w:val="CommentText"/>
    <w:rsid w:val="002D5702"/>
    <w:rPr>
      <w:lang w:eastAsia="en-US"/>
    </w:rPr>
  </w:style>
  <w:style w:type="paragraph" w:styleId="CommentSubject">
    <w:name w:val="annotation subject"/>
    <w:basedOn w:val="CommentText"/>
    <w:next w:val="CommentText"/>
    <w:link w:val="CommentSubjectChar"/>
    <w:rsid w:val="002D5702"/>
    <w:rPr>
      <w:b/>
      <w:bCs/>
    </w:rPr>
  </w:style>
  <w:style w:type="character" w:customStyle="1" w:styleId="CommentSubjectChar">
    <w:name w:val="Comment Subject Char"/>
    <w:basedOn w:val="CommentTextChar"/>
    <w:link w:val="CommentSubject"/>
    <w:rsid w:val="002D5702"/>
    <w:rPr>
      <w:b/>
      <w:bCs/>
      <w:lang w:eastAsia="en-US"/>
    </w:rPr>
  </w:style>
  <w:style w:type="character" w:customStyle="1" w:styleId="Heading1Char">
    <w:name w:val="Heading 1 Char"/>
    <w:basedOn w:val="DefaultParagraphFont"/>
    <w:link w:val="Heading1"/>
    <w:rsid w:val="00137D82"/>
    <w:rPr>
      <w:rFonts w:ascii="Arial" w:hAnsi="Arial"/>
      <w:sz w:val="36"/>
      <w:lang w:eastAsia="en-US"/>
    </w:rPr>
  </w:style>
  <w:style w:type="paragraph" w:customStyle="1" w:styleId="Doc-text2">
    <w:name w:val="Doc-text2"/>
    <w:basedOn w:val="Normal"/>
    <w:link w:val="Doc-text2Char"/>
    <w:qFormat/>
    <w:rsid w:val="00AE6C7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E6C7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798435">
      <w:bodyDiv w:val="1"/>
      <w:marLeft w:val="0"/>
      <w:marRight w:val="0"/>
      <w:marTop w:val="0"/>
      <w:marBottom w:val="0"/>
      <w:divBdr>
        <w:top w:val="none" w:sz="0" w:space="0" w:color="auto"/>
        <w:left w:val="none" w:sz="0" w:space="0" w:color="auto"/>
        <w:bottom w:val="none" w:sz="0" w:space="0" w:color="auto"/>
        <w:right w:val="none" w:sz="0" w:space="0" w:color="auto"/>
      </w:divBdr>
    </w:div>
    <w:div w:id="540214286">
      <w:bodyDiv w:val="1"/>
      <w:marLeft w:val="0"/>
      <w:marRight w:val="0"/>
      <w:marTop w:val="0"/>
      <w:marBottom w:val="0"/>
      <w:divBdr>
        <w:top w:val="none" w:sz="0" w:space="0" w:color="auto"/>
        <w:left w:val="none" w:sz="0" w:space="0" w:color="auto"/>
        <w:bottom w:val="none" w:sz="0" w:space="0" w:color="auto"/>
        <w:right w:val="none" w:sz="0" w:space="0" w:color="auto"/>
      </w:divBdr>
      <w:divsChild>
        <w:div w:id="1520654670">
          <w:marLeft w:val="274"/>
          <w:marRight w:val="0"/>
          <w:marTop w:val="0"/>
          <w:marBottom w:val="0"/>
          <w:divBdr>
            <w:top w:val="none" w:sz="0" w:space="0" w:color="auto"/>
            <w:left w:val="none" w:sz="0" w:space="0" w:color="auto"/>
            <w:bottom w:val="none" w:sz="0" w:space="0" w:color="auto"/>
            <w:right w:val="none" w:sz="0" w:space="0" w:color="auto"/>
          </w:divBdr>
        </w:div>
        <w:div w:id="1808667270">
          <w:marLeft w:val="274"/>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5AIRPNAIUNRU-859666464-5148</_dlc_DocId>
    <_dlc_DocIdUrl xmlns="71c5aaf6-e6ce-465b-b873-5148d2a4c105">
      <Url>https://nokia.sharepoint.com/sites/c5g/e2earch/_layouts/15/DocIdRedir.aspx?ID=5AIRPNAIUNRU-859666464-5148</Url>
      <Description>5AIRPNAIUNRU-859666464-5148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term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www.w3.org/XML/1998/namespace"/>
    <ds:schemaRef ds:uri="http://schemas.microsoft.com/office/infopath/2007/PartnerControls"/>
    <ds:schemaRef ds:uri="83f22d2f-d16e-4be6-ad4f-29fa0b067c3c"/>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143</TotalTime>
  <Pages>6</Pages>
  <Words>2824</Words>
  <Characters>14943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17732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Stanczak, Jedrzej (Nokia - PL/Wroclaw)</dc:creator>
  <cp:lastModifiedBy>Nokia</cp:lastModifiedBy>
  <cp:revision>67</cp:revision>
  <dcterms:created xsi:type="dcterms:W3CDTF">2019-05-02T06:38:00Z</dcterms:created>
  <dcterms:modified xsi:type="dcterms:W3CDTF">2019-05-02T21:15:00Z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12aed4bd-14d0-47da-bb1b-63d60e7dc1d0</vt:lpwstr>
  </property>
</Properties>
</file>